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NKommerzWAbgV</w:t>
      </w:r>
    </w:p>
    <w:p>
      <w:r>
        <w:rPr>
          <w:color w:val="555555"/>
          <w:sz w:val="18"/>
        </w:rPr>
        <w:t xml:space="preserve">Kleinsendungs-Einfuhrfreimengen-Verordnung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24 Abs. 1 und des § 79 Abs. 1 des Zollgesetzes in der Fassung der Bekanntmachung vom 18. Mai 1970 (BGBl. I S. 529) und des Artikels 3 des Vierzehnten Gesetzes zur Änderung des Zollgesetzes vom 3. August 1973 (BGBl. I S. 933) wird verordnet:</w:t>
      </w:r>
    </w:p>
    <w:p>
      <w:r>
        <w:rPr>
          <w:color w:val="555555"/>
          <w:sz w:val="17"/>
        </w:rPr>
        <w:t xml:space="preserve">Zitiervorschlag: Eingangsformel NKommerzWAbgV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https://recht.nulegal.eu/gesetze/NKommerzWAbgV/eingangsformel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