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NKommerzWAbgV — Steuergebiet</w:t>
      </w:r>
    </w:p>
    <w:p>
      <w:r>
        <w:rPr>
          <w:color w:val="555555"/>
          <w:sz w:val="18"/>
        </w:rPr>
        <w:t xml:space="preserve">Kleinsendungs-Einfuhrfreimengen-Verordnung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Abgabenfreiheit von Verbrauchsteuern ist das Steuergebiet nach den Verbrauchsteuergesetzen maßgeblich.</w:t>
      </w:r>
    </w:p>
    <w:p>
      <w:r>
        <w:rPr>
          <w:color w:val="555555"/>
          <w:sz w:val="17"/>
        </w:rPr>
        <w:t xml:space="preserve">Zitiervorschlag: § 2 NKommerzWAbgV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https://recht.nulegal.eu/gesetze/NKommerzWAbgV/2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