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NKRG — Übergangsvorschrift</w:t>
      </w:r>
    </w:p>
    <w:p>
      <w:r>
        <w:rPr>
          <w:color w:val="555555"/>
          <w:sz w:val="18"/>
        </w:rPr>
        <w:t xml:space="preserve">Gesetz zur Einsetzung eines Nationalen Normenkontrollrates</w:t>
      </w:r>
    </w:p>
    <w:p>
      <w:r>
        <w:rPr>
          <w:color w:val="555555"/>
          <w:sz w:val="18"/>
        </w:rPr>
        <w:t xml:space="preserve">Stand: 23.06.2022 (konsolidierte Textfassung, kein amtliches Inkrafttretensdatum)</w:t>
      </w:r>
    </w:p>
    <w:p>
      <w:r>
        <w:t xml:space="preserve">§ 4 Absatz 3 ist ab dem 1. Januar 2023 anzuwenden.</w:t>
      </w:r>
    </w:p>
    <w:p>
      <w:r>
        <w:rPr>
          <w:color w:val="555555"/>
          <w:sz w:val="17"/>
        </w:rPr>
        <w:t xml:space="preserve">Zitiervorschlag: § 9 NKRG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