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NKRG — Pflichten des Nationalen Normenkontrollrates</w:t>
      </w:r>
    </w:p>
    <w:p>
      <w:r>
        <w:rPr>
          <w:color w:val="555555"/>
          <w:sz w:val="18"/>
        </w:rPr>
        <w:t xml:space="preserve">Gesetz zur Einsetzung eines Nationalen Normenkontrollrates</w:t>
      </w:r>
    </w:p>
    <w:p>
      <w:r>
        <w:rPr>
          <w:color w:val="555555"/>
          <w:sz w:val="18"/>
        </w:rPr>
        <w:t xml:space="preserve">Stand: 23.06.2022 (konsolidierte Textfassung, kein amtliches Inkrafttretensdatum)</w:t>
      </w:r>
    </w:p>
    <w:p>
      <w:r>
        <w:t xml:space="preserve">(1) Der Nationale Normenkontrollrat gibt seine Stellungnahmen zu den Gesetzentwürfen nicht öffentlich ab. Diese Stellungnahmen und die Stellungnahmen der Bundesregierung dazu werden dem Gesetzentwurf bei der Einbringung in den Bundestag beziehungsweise bei der Zuleitung an den Bundesrat beigefügt.</w:t>
      </w:r>
    </w:p>
    <w:p>
      <w:r>
        <w:t xml:space="preserve">(2) Der Nationale Normenkontrollrat berichtet jährlich der Bundesregierung. Er kann seinem schriftlichen Bericht Empfehlungen beifügen.</w:t>
      </w:r>
    </w:p>
    <w:p>
      <w:r>
        <w:t xml:space="preserve">(3) Der Nationale Normenkontrollrat steht den federführenden und den mitberatenden ständigen Ausschüssen des Bundestages und des Bundesrates zur Beratung zur Verfügung.</w:t>
      </w:r>
    </w:p>
    <w:p>
      <w:r>
        <w:rPr>
          <w:color w:val="555555"/>
          <w:sz w:val="17"/>
        </w:rPr>
        <w:t xml:space="preserve">Zitiervorschlag: § 6 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https://recht.nulegal.eu/gesetze/NKRG/6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