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NKRG — Befugnisse des Nationalen Normenkontrollrates</w:t>
      </w:r>
    </w:p>
    <w:p>
      <w:r>
        <w:rPr>
          <w:color w:val="555555"/>
          <w:sz w:val="18"/>
        </w:rPr>
        <w:t xml:space="preserve">Gesetz zur Einsetzung eines Nationalen Normenkontrollrates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Nationale Normenkontrollrat ist berechtigt,</w:t>
      </w:r>
    </w:p>
    <w:p>
      <w:pPr>
        <w:ind w:left="420"/>
      </w:pPr>
      <w:r>
        <w:t xml:space="preserve">1. die Datenbank zu nutzen, die die Bundesregierung für die bei der Ermittlung der Bürokratiekosten erhaltenen Daten angelegt hat,</w:t>
      </w:r>
    </w:p>
    <w:p>
      <w:pPr>
        <w:ind w:left="420"/>
      </w:pPr>
      <w:r>
        <w:t xml:space="preserve">2. eigene Anhörungen durchzuführen,</w:t>
      </w:r>
    </w:p>
    <w:p>
      <w:pPr>
        <w:ind w:left="420"/>
      </w:pPr>
      <w:r>
        <w:t xml:space="preserve">3. Gutachten in Auftrag zu geben,</w:t>
      </w:r>
    </w:p>
    <w:p>
      <w:pPr>
        <w:ind w:left="420"/>
      </w:pPr>
      <w:r>
        <w:t xml:space="preserve">4. der Bundesregierung Sonderberichte vorzulegen.</w:t>
      </w:r>
    </w:p>
    <w:p>
      <w:r>
        <w:t xml:space="preserve">(2) Behörden des Bundes und die Länder leisten dem Normenkontrollrat Amtshilfe.</w:t>
      </w:r>
    </w:p>
    <w:p>
      <w:r>
        <w:rPr>
          <w:color w:val="555555"/>
          <w:sz w:val="17"/>
        </w:rPr>
        <w:t xml:space="preserve">Zitiervorschlag: § 5 NKRG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