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NKRG — Erfüllungsaufwand</w:t>
      </w:r>
    </w:p>
    <w:p>
      <w:r>
        <w:rPr>
          <w:color w:val="555555"/>
          <w:sz w:val="18"/>
        </w:rPr>
        <w:t xml:space="preserve">Gesetz zur Einsetzung eines Nationalen Normenkontrollrates</w:t>
      </w:r>
    </w:p>
    <w:p>
      <w:r>
        <w:rPr>
          <w:color w:val="555555"/>
          <w:sz w:val="18"/>
        </w:rPr>
        <w:t xml:space="preserve">Stand: 10.06.2019 (konsolidierte Textfassung, kein amtliches Inkrafttretensdatum)</w:t>
      </w:r>
    </w:p>
    <w:p>
      <w:r>
        <w:t xml:space="preserve">(1) Der Erfüllungsaufwand umfasst den gesamten messbaren Zeitaufwand und die Kosten, die durch die Befolgung einer bundesrechtlichen Vorschrift bei Bürgerinnen und Bürgern, Wirtschaft sowie der öffentlichen Verwaltung entstehen.</w:t>
      </w:r>
    </w:p>
    <w:p>
      <w:r>
        <w:t xml:space="preserve">(2) Teil des Erfüllungsaufwandes sind auch die Bürokratiekosten. Bürokratiekosten im Sinne dieses Gesetzes sind solche, die natürlichen oder juristischen Personen durch Informationspflichten entstehen. Informationspflichten sind auf Grund von Gesetz, Rechtsverordnung, Satzung oder Verwaltungsvorschrift bestehende Verpflichtungen, Daten und sonstige Informationen für Behörden oder Dritte zu beschaffen, verfügbar zu halten oder zu übermitteln.</w:t>
      </w:r>
    </w:p>
    <w:p>
      <w:r>
        <w:t xml:space="preserve">(3) Bei der Messung der Bürokratiekosten ist das Standardkosten-Modell (SKM) anzuwenden. Die international anerkannten Regeln zur Anwendung des Standardkosten-Modells sind zugrunde zu legen. Abweichungen von dieser Methodik bedürfen eines Beschlusses der Mehrheit der Mitglieder des Nationalen Normenkontrollrates und der Zustimmung der Bundesregierung. Die Notwendigkeit eines Beschlusses ist insbesondere zu prüfen, wenn sonst eine Abweichung von den international anerkannten Regeln zur Anwendung des SKM zu besorgen ist.</w:t>
      </w:r>
    </w:p>
    <w:p>
      <w:r>
        <w:t xml:space="preserve">(4) Bei der erstmaligen Ermittlung der für die Durchführung der Messung bei Unternehmen notwendigen Kennziffern (Kosten pro Einheit, Zeit pro einzelner durch das Gesetz ausgelöster Aktivität sowie deren Häufigkeit pro Jahr und Anzahl der betroffenen Unternehmen) sind alle Bürokratiekosten zu berücksichtigen, die auf Bundesrecht beruhen.</w:t>
      </w:r>
    </w:p>
    <w:p>
      <w:r>
        <w:rPr>
          <w:color w:val="555555"/>
          <w:sz w:val="17"/>
        </w:rPr>
        <w:t xml:space="preserve">Zitiervorschlag: § 2 NKRG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https://recht.nulegal.eu/gesetze/NKRG/2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