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NKFEG NRW (Nordrhein-Westfalen) — Ausführung des doppischen/kameralen Haushalts</w:t>
      </w:r>
    </w:p>
    <w:p>
      <w:r>
        <w:rPr>
          <w:color w:val="555555"/>
          <w:sz w:val="18"/>
        </w:rPr>
        <w:t xml:space="preserve">NKF Einführungsgesetz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Ausführung des Haushalts in den nicht auf die doppelte Buchführung umgestellten Aufgabenbereichen sind die Vorschriften der Gemeindeordnung, der Gemeindehaushaltsverordnung und der Gemeindekassenverordnung entsprechend § 9 zu beachten.</w:t>
      </w:r>
    </w:p>
    <w:p>
      <w:r>
        <w:rPr>
          <w:color w:val="555555"/>
          <w:sz w:val="17"/>
        </w:rPr>
        <w:t xml:space="preserve">Zitiervorschlag: § 7 NKFEG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https://recht.nulegal.eu/gesetze/NKFEG%20NRW/7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