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NKFEG NRW (Nordrhein-Westfalen) — Aufstellung des ersten Gesamtabschlusses</w:t>
      </w:r>
    </w:p>
    <w:p>
      <w:r>
        <w:rPr>
          <w:color w:val="555555"/>
          <w:sz w:val="18"/>
        </w:rPr>
        <w:t xml:space="preserve">NKF Einführungsgesetz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Gemeinden und Gemeindeverbände haben spätestens zum Stichtag 31. Dezember 2010 den ersten Gesamtabschluss nach § 116 der Gemeindeordnung aufzustellen. In der Zeit vom In-Kraft-Treten dieses Gesetzes bis zum Stichtag nach Satz 1 kann ein Gesamtabschluss jeweils zum Schluss eines Haushaltsjahres aufgestellt werden, wenn bereits ein Jahresabschluss nach § 95 der Gemeindeordnung aufgestellt wird.</w:t>
      </w:r>
    </w:p>
    <w:p>
      <w:r>
        <w:t xml:space="preserve">(2) Bei der Aufstellung des ersten Gesamtabschlusses brauchen keine Vorjahreszahlen angegeben zu werden.</w:t>
      </w:r>
    </w:p>
    <w:p>
      <w:r>
        <w:rPr>
          <w:color w:val="555555"/>
          <w:sz w:val="17"/>
        </w:rPr>
        <w:t xml:space="preserve">Zitiervorschlag: § 2 NKFEG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https://recht.nulegal.eu/gesetze/NKFEG%20NRW/2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