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NKF-CUIG (Nordrhein-Westfalen) — Inkrafttreten, Außerkrafttreten</w:t>
      </w:r>
    </w:p>
    <w:p>
      <w:r>
        <w:rPr>
          <w:color w:val="555555"/>
          <w:sz w:val="18"/>
        </w:rPr>
        <w:t xml:space="preserve">NKF-COVID-19-Ukraine-Isolierungsgesetz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Die §§ 2 und 3 treten am 31. Dezember 2021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Zugleich für die Ministerin für Heimat, Kommunales, Bau und Gleichstellung</w:t>
      </w:r>
    </w:p>
    <w:p>
      <w:r>
        <w:t xml:space="preserve">Die Ministerin für Umwelt, Landwirtschaft, Natur- und Verbraucherschutz</w:t>
      </w:r>
    </w:p>
    <w:p>
      <w:r>
        <w:t xml:space="preserve">Zugleich für den Minister für Bundes- und Europaangelegenheiten sowie Internationales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8 NKF-CUIG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https://recht.nulegal.eu/gesetze/NKF-CUIG/8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