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NHGV (Bayern)</w:t>
      </w:r>
    </w:p>
    <w:p>
      <w:r>
        <w:rPr>
          <w:color w:val="555555"/>
          <w:sz w:val="18"/>
        </w:rPr>
        <w:t xml:space="preserve">Verordnung über kommunale Namen, Hoheitszeichen und Gebietsänderungen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21. Januar 2000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NHGV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https://recht.nulegal.eu/gesetze/NHGV/schlussformel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