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NHGV (Bayern) — Namen gemeindefreier Gebiete</w:t>
      </w:r>
    </w:p>
    <w:p>
      <w:r>
        <w:rPr>
          <w:color w:val="555555"/>
          <w:sz w:val="18"/>
        </w:rPr>
        <w:t xml:space="preserve">Verordnung über kommunale Namen, Hoheitszeichen und Gebietsänderungen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Landratsamt benennt die gemeindefreien Gebiete oder Teile hiervon von Amts wegen oder auf Antrag. Antragsberechtigt sind die Eigentümer der gemeindefreien Grundstücke.</w:t>
      </w:r>
    </w:p>
    <w:p>
      <w:r>
        <w:t xml:space="preserve">(2) Vor der Entscheidung über die Benennung sind die Eigentümer und die nach dem Gemeinde- und Landkreiswahlgesetz wahlberechtigten Bewohner der gemeindefreien Grundstücke zu hören. § 12 Abs. 2 Satz 2 gilt entsprechend.</w:t>
      </w:r>
    </w:p>
    <w:p>
      <w:r>
        <w:rPr>
          <w:color w:val="555555"/>
          <w:sz w:val="17"/>
        </w:rPr>
        <w:t xml:space="preserve">Zitiervorschlag: § 3 NHGV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https://recht.nulegal.eu/gesetze/NHGV/3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