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NHGV (Bayern) — In-Kraft-Treten</w:t>
      </w:r>
    </w:p>
    <w:p>
      <w:r>
        <w:rPr>
          <w:color w:val="555555"/>
          <w:sz w:val="18"/>
        </w:rPr>
        <w:t xml:space="preserve">Verordnung über kommunale Namen, Hoheitszeichen und Gebietsänderungen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März 2000 in Kraft.</w:t>
      </w:r>
    </w:p>
    <w:p>
      <w:r>
        <w:rPr>
          <w:color w:val="555555"/>
          <w:sz w:val="17"/>
        </w:rPr>
        <w:t xml:space="preserve">Zitiervorschlag: § 13 NHGV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https://recht.nulegal.eu/gesetze/NHGV/13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