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NHGV (Bayern) — Schreibweise der Namen von Gemeinden und Gemeindeteilen</w:t>
      </w:r>
    </w:p>
    <w:p>
      <w:r>
        <w:rPr>
          <w:color w:val="555555"/>
          <w:sz w:val="18"/>
        </w:rPr>
        <w:t xml:space="preserve">Verordnung über kommunale Namen, Hoheitszeichen und Gebietsänderungen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amtliche Schreibweise der Namen von Gemeinden richtet sich nach dem vom Staatsministerium des Innern, für Sport und Integration veröffentlichten Gemeindeverzeichnis.</w:t>
      </w:r>
    </w:p>
    <w:p>
      <w:r>
        <w:t xml:space="preserve">(2) Die amtliche Schreibweise der Namen von Gemeindeteilen richtet sich nach dem Amtlichen Ortsverzeichnis für Bayern in der jeweils geltenden Fassung.</w:t>
      </w:r>
    </w:p>
    <w:p>
      <w:r>
        <w:t xml:space="preserve">(3) Staatliche Behörden und juristische Personen des öffentlichen Rechts haben im Schriftverkehr die amtliche Schreibweise zu verwenden.</w:t>
      </w:r>
    </w:p>
    <w:p>
      <w:r>
        <w:rPr>
          <w:color w:val="555555"/>
          <w:sz w:val="17"/>
        </w:rPr>
        <w:t xml:space="preserve">Zitiervorschlag: § 1 NHGV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https://recht.nulegal.eu/gesetze/NHGV/1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