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NEhelG</w:t>
      </w:r>
    </w:p>
    <w:p>
      <w:r>
        <w:rPr>
          <w:color w:val="555555"/>
          <w:sz w:val="18"/>
        </w:rPr>
        <w:t xml:space="preserve">Gesetz über die rechtliche Stellung der nichtehelichen Kinder</w:t>
      </w:r>
    </w:p>
    <w:p>
      <w:r>
        <w:rPr>
          <w:color w:val="555555"/>
          <w:sz w:val="18"/>
        </w:rPr>
        <w:t xml:space="preserve">Stand: 10.06.2019 (konsolidierte Textfassung, kein amtliches Inkrafttretensdatum)</w:t>
      </w:r>
    </w:p>
    <w:p>
      <w:r>
        <w:t xml:space="preserve">Hat das Vormundschaftsgericht vor dem Inkrafttreten dieses Gesetzes rechtskräftig festgestellt, daß ein nichteheliches Kind durch die Eheschließung seiner Eltern ehelich geworden ist, oder ist ein nichteheliches Kind vor diesem Zeitpunkt für ehelich erklärt worden, so sind die §§ 2, 3 nicht anzuwenden.</w:t>
      </w:r>
    </w:p>
    <w:p>
      <w:r>
        <w:rPr>
          <w:color w:val="555555"/>
          <w:sz w:val="17"/>
        </w:rPr>
        <w:t xml:space="preserve">Zitiervorschlag: § 8 NEhelG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https://recht.nulegal.eu/gesetze/NEhelG/8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