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NEhelG</w:t>
      </w:r>
    </w:p>
    <w:p>
      <w:r>
        <w:rPr>
          <w:color w:val="555555"/>
          <w:sz w:val="18"/>
        </w:rPr>
        <w:t xml:space="preserve">Gesetz über die rechtliche Stellung der nichtehelichen Kinder</w:t>
      </w:r>
    </w:p>
    <w:p>
      <w:r>
        <w:rPr>
          <w:color w:val="555555"/>
          <w:sz w:val="18"/>
        </w:rPr>
        <w:t xml:space="preserve">Stand: 10.06.2019 (konsolidierte Textfassung, kein amtliches Inkrafttretensdatum)</w:t>
      </w:r>
    </w:p>
    <w:p>
      <w:r>
        <w:t xml:space="preserve">(1) Hat ein Mann vor dem Inkrafttreten dieses Gesetzes in einer öffentlichen Urkunde seine Vaterschaft anerkannt oder in einem vollstreckbaren Schuldtitel sich zur Erfüllung eines Anspruchs nach § 1708 des Bürgerlichen Gesetzbuchs verpflichtet, so ist er als Vater im Sinne dieses Gesetzes anzusehen. Das gleiche gilt, wenn ein Mann in einer rechtskräftigen Entscheidung, die vor dem Inkrafttreten dieses Gesetzes erlassen worden ist, zur Erfüllung eines Anspruchs nach § 1708 des Bürgerlichen Gesetzbuchs verurteilt worden ist. Die vorstehenden Vorschriften sind nicht anzuwenden, wenn beim Inkrafttreten dieses Gesetzes sowohl der Mann als auch die Mutter und das Kind verstorben sind.</w:t>
      </w:r>
    </w:p>
    <w:p>
      <w:r>
        <w:t xml:space="preserve">(2) Die Vaterschaft kann durch Klage oder Antrag auf Feststellung, daß der Mann nicht der Vater des Kindes ist, angefochten werden. Berechtigt anzufechten sind der Mann, die Mutter und das Kind sowie nach dem Tod des Mannes auch seine Eltern, seine überlebende Ehefrau oder sein überlebender Lebenspartner und seine Abkömmlinge, nach dem Tod des Kindes auch sein überlebender Ehegatte oder sein überlebender Lebenspartner und seine Abkömmlinge. Nach dem Tod eines Elternteils steht das Anfechtungsrecht dem überlebenden Elternteil zu. § 1600a des Bürgerlichen Gesetzbuchs sowie die Vorschriften des Gesetzes über das Verfahren in Familiensachen und in den Angelegenheiten der freiwilligen Gerichtsbarkeit über die Anfechtung der Vaterschaft sind entsprechend anzuwenden. Es wird vermutet, dass der Mann der Mutter in der Empfängniszeit beigewohnt hat; im Übrigen bestimmt sich die Vermutung der Vaterschaft nach § 1600d Absatz 2 des Bürgerlichen Gesetzbuchs.</w:t>
      </w:r>
    </w:p>
    <w:p>
      <w:r>
        <w:rPr>
          <w:color w:val="555555"/>
          <w:sz w:val="17"/>
        </w:rPr>
        <w:t xml:space="preserve">Zitiervorschlag: § 3 NEhelG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https://recht.nulegal.eu/gesetze/NEhelG/3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