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NEhelG</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(1) In den Fällen des § 3 Abs. 1 wird, soweit dies nach den bisherigen Vorschriften noch nicht geschehen ist, der Vater eines nichtehelichen Kindes am Rand des Geburtseintrags vermerkt, wenn das Kind, der Vater, deren Erben oder die Mutter dies beantragen; der Standesbeamte kann den Randvermerk auch von Amts wegen eintragen. Das gleiche gilt, wenn in einer rechtskräftigen Entscheidung, die vor dem Inkrafttreten dieses Gesetzes erlassen worden ist, im Verfahren nach § 640 der Zivilprozeßordnung festgestellt wurde, daß ein Mann der Vater eines nichtehelichen Kindes ist.</w:t>
      </w:r>
    </w:p>
    <w:p>
      <w:r>
        <w:t xml:space="preserve">(2) Ist für das Kind ein Familienbuch angelegt, so wird sein Vater in das Familienbuch eingetragen, sobald er nach Absatz 1 am Rand des Geburtseintrags vermerkt wird. Ist der Vater bereits vor dem Inkrafttreten dieses Gesetzes am Rand des Geburtseintrags vermerkt worden, oder ist die Geburt im Geltungsbereich des Personenstandsgesetzes nicht beurkundet, so wird der Vater im Familienbuch vermerkt, wenn das Kind, der Vater, deren Erben oder die Mutter dies beantragen; der Standesbeamte kann den Vermerk auch von Amts wegen eintragen.</w:t>
      </w:r>
    </w:p>
    <w:p>
      <w:r>
        <w:rPr>
          <w:color w:val="555555"/>
          <w:sz w:val="17"/>
        </w:rPr>
        <w:t xml:space="preserve">Zitiervorschlag: § 23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