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NEUNTER_RUNDFUNKAEND_STV (Brandenburg) — Inkrafttreten</w:t>
      </w:r>
    </w:p>
    <w:p>
      <w:r>
        <w:rPr>
          <w:color w:val="555555"/>
          <w:sz w:val="18"/>
        </w:rPr>
        <w:t xml:space="preserve">Gesetz zu dem Neunten Staatsvertrag zur Änderung rundfunkrechtlicher Staatsverträge (Neunter Rundfunkänderungsstaatsvertrag) und zur Änderung des Medienaufsichtsgesetzes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Artikel 2 dieses Gesetzes tritt an dem Tage in Kraft, an dem der Neunte Rundfunkänderungsstaatsvertrag in Kraft tritt.</w:t>
      </w:r>
    </w:p>
    <w:p>
      <w:r>
        <w:t xml:space="preserve">(2) Im Übrigen tritt dieses Gesetz am Tage nach der Verkündung in Kraft.</w:t>
      </w:r>
    </w:p>
    <w:p>
      <w:r>
        <w:t xml:space="preserve">(3) Das Inkrafttreten des Neunten Rundfunkänderungsstaatsvertrages nach seinem Artikel 9 Abs. 2 ist im Gesetz- und Verordnungsblatt für das Land Brandenburg Teil I bekannt zu geben.</w:t>
      </w:r>
    </w:p>
    <w:p>
      <w:r>
        <w:t xml:space="preserve">Potsdam, den 8. Januar 2007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Rundfunkstaatsvertrag</w:t>
      </w:r>
    </w:p>
    <w:p>
      <w:r>
        <w:t xml:space="preserve">zum Staatsvertrag - Jugendmedienschutz-Staatsvertrag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Art 3 NEUNTER_RUNDFUNKAEND_STV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https://recht.nulegal.eu/gesetze/NEUNTER_RUNDFUNKAEND_STV/3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