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NELEV</w:t>
      </w:r>
    </w:p>
    <w:p>
      <w:r>
        <w:rPr>
          <w:color w:val="555555"/>
          <w:sz w:val="18"/>
        </w:rPr>
        <w:t xml:space="preserve">Elektrotechnische-Eigenschaften-Nachweis-Verordnung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49 Absatz 4 Satz 1 Nummer 3 des Energiewirtschaftsgesetzes vom 7. Juli 2005 (BGBl. I S. 1970, 3621), der durch Artikel 1 Nummer 15 des Gesetzes vom 26. Juli 2016 (BGBl. I S. 1786) geändert worden ist, verordnet das Bundesministerium für Wirtschaft und Energie:</w:t>
      </w:r>
    </w:p>
    <w:p>
      <w:r>
        <w:rPr>
          <w:color w:val="555555"/>
          <w:sz w:val="17"/>
        </w:rPr>
        <w:t xml:space="preserve">Zitiervorschlag: Eingangsformel NELEV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https://recht.nulegal.eu/gesetze/NELEV/eingangsformel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