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NELEV — Inkrafttreten</w:t>
      </w:r>
    </w:p>
    <w:p>
      <w:r>
        <w:rPr>
          <w:color w:val="555555"/>
          <w:sz w:val="18"/>
        </w:rPr>
        <w:t xml:space="preserve">Elektrotechnische-Eigenschaften-Nachweis-Verordnung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Diese Verordnung tritt am 1. Juli 2017 in Kraft.</w:t>
      </w:r>
    </w:p>
    <w:p>
      <w:r>
        <w:rPr>
          <w:color w:val="555555"/>
          <w:sz w:val="17"/>
        </w:rPr>
        <w:t xml:space="preserve">Zitiervorschlag: § 8 NELEV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https://recht.nulegal.eu/gesetze/NELEV/8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