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NELEV — Übergangsregelungen, Anwendungsbestimmungen</w:t>
      </w:r>
    </w:p>
    <w:p>
      <w:r>
        <w:rPr>
          <w:color w:val="555555"/>
          <w:sz w:val="18"/>
        </w:rPr>
        <w:t xml:space="preserve">Elektrotechnische-Eigenschaften-Nachweis-Verordnung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Soweit für die Ausstellung des Nachweisdokuments nach § 2 Absatz 2 keine allgemein anerkannten Regeln der Technik gemäß § 3 existieren, ist § 2 Absatz 2 nicht anzuwenden. Soweit für die Überprüfung der Simulationsmodelle nach § 2 Absatz 3 keine allgemein anerkannten Regeln der Technik gemäß § 3 existieren, ist § 2 Absatz 3 nicht anzuwenden.</w:t>
      </w:r>
    </w:p>
    <w:p>
      <w:r>
        <w:t xml:space="preserve">(2) Ist eine Erzeugungsanlage, die an ein Mittelspannungsnetz angeschlossen werden soll, ein Prototyp nach Kapitel 12 der Anwendungsregel VDE-AR-N 4120:2015-01 „Technische Bedingungen für den Anschluss und Betrieb von Kundenanlagen an das Hochspannungsnetz (TAB Hochspannung)“ des Verbandes der Elektrotechnik Elektronik Informationstechnik e.V. (VDE)[5], so gelten für diese Erzeugungsanlage die allgemein anerkannten Regeln der Technik für Erzeugungsanlagen mit Anschluss an ein Mittelspannungsnetz. Ergänzend hierzu gelten für Prototypen nach Satz 1 die Regelungen des Kapitels 12 der TAB Hochspannung. Die Sätze 1 und 2 sind nur anwendbar, bis technische Regeln des in § 49 Absatz 2 Satz 1 Nummer 1 des Energiewirtschaftsgesetzes bezeichneten Verbandes für Erzeugungsanlagen mit Anschluss an ein Mittelspannungsnetz in Kraft getreten sind.</w:t>
      </w:r>
    </w:p>
    <w:p>
      <w:r>
        <w:t xml:space="preserve">(3) Bis zur Genehmigung der Schwellenwerte für die Maximalkapazität von Erzeugungsanlagen nach Artikel 5 Absatz 3 der Verordnung (EU) 2016/631 durch die Bundesnetzagentur ist § 2 Absatz 2 und 3 mit der Maßgabe anzuwenden, dass die Schwellenwerte den in Tabelle 1 der Verordnung (EU) 2016/631 genannten Grenzwerten für Kontinentaleuropa entsprechen.</w:t>
      </w:r>
    </w:p>
    <w:p>
      <w:r>
        <w:t xml:space="preserve">(4) Die Pflicht der Hersteller nach § 4 Absatz 3, die Pflicht der Betreiber von Erzeugungsanlagen nach § 4 Absatz 9 und die Pflicht der Netzbetreiber nach § 4 Absatz 10 Satz 1 sind ab dem 1. Februar 2025 anzuwenden.</w:t>
      </w:r>
    </w:p>
    <w:p>
      <w:r>
        <w:t xml:space="preserve">5 Zu beziehen bei VDE Verlag GmbH, Berlin (www.vde-verlag.de) und archivmäßig gesichert niedergelegt bei der Deutschen Nationalbibliothek in Leipzig.</w:t>
      </w:r>
    </w:p>
    <w:p>
      <w:r>
        <w:rPr>
          <w:color w:val="555555"/>
          <w:sz w:val="17"/>
        </w:rPr>
        <w:t xml:space="preserve">Zitiervorschlag: § 7 NELEV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https://recht.nulegal.eu/gesetze/NELEV/7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