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NELEV — Allgemein anerkannte Regeln der Technik</w:t>
      </w:r>
    </w:p>
    <w:p>
      <w:r>
        <w:rPr>
          <w:color w:val="555555"/>
          <w:sz w:val="18"/>
        </w:rPr>
        <w:t xml:space="preserve">Elektrotechnische-Eigenschaften-Nachweis-Verordnung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dem Nachweis nach § 2 sind vorbehaltlich sonstiger Rechtsvorschriften die allgemein anerkannten Regeln der Technik zu beachten.</w:t>
      </w:r>
    </w:p>
    <w:p>
      <w:r>
        <w:t xml:space="preserve">(2) Die Einhaltung der allgemein anerkannten Regeln der Technik wird widerleglich vermutet, wenn die technischen Regeln des in § 49 Absatz 2 Satz 1 Nummer 1 des Energiewirtschaftsgesetzes bezeichneten Verbandes eingehalten worden sind.</w:t>
      </w:r>
    </w:p>
    <w:p>
      <w:r>
        <w:t xml:space="preserve">(3) Vorbehaltlich sonstiger Rechtsvorschriften können in den technischen Regeln des in § 49 Absatz 2 Satz 1 Nummer 1 des Energiewirtschaftsgesetzes bezeichneten Verbandes auch Überprüfungen der Einhaltung von technischen Mindestanforderungen nach § 19 des Energiewirtschaftsgesetzes durch Zertifizierungsstellen gemäß DIN EN ISO/IEC 17065, Ausgabe Januar 2013[4], gefordert werden, die von einer nationalen Akkreditierungsstelle im Sinne der Verordnung (EG) Nr. 765/2008 in der jeweils geltenden Fassung akkreditiert worden sind.</w:t>
      </w:r>
    </w:p>
    <w:p>
      <w:r>
        <w:t xml:space="preserve">4 Zu beziehen bei der Beuth Verlag GmbH, Berlin und beim Deutschen Patent- und Markenamt archivmäßig gesichert niedergelegt.</w:t>
      </w:r>
    </w:p>
    <w:p>
      <w:r>
        <w:rPr>
          <w:color w:val="555555"/>
          <w:sz w:val="17"/>
        </w:rPr>
        <w:t xml:space="preserve">Zitiervorschlag: § 3 NELEV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