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NELEV — Nachweis der Einhaltung der allgemeinen technischen Mindestanforderungen von Erzeugungsanlagen</w:t>
      </w:r>
    </w:p>
    <w:p>
      <w:r>
        <w:rPr>
          <w:color w:val="555555"/>
          <w:sz w:val="18"/>
        </w:rPr>
        <w:t xml:space="preserve">Elektrotechnische-Eigenschaften-Nachweis-Verordnung</w:t>
      </w:r>
    </w:p>
    <w:p>
      <w:r>
        <w:rPr>
          <w:color w:val="555555"/>
          <w:sz w:val="18"/>
        </w:rPr>
        <w:t xml:space="preserve">Stand: 17.05.2024 (konsolidierte Textfassung, kein amtliches Inkrafttretensdatum)</w:t>
      </w:r>
    </w:p>
    <w:p>
      <w:r>
        <w:t xml:space="preserve">(1) Betreiber von Erzeugungsanlagen haben dem zuständigen Netzbetreiber im Rahmen des Betriebserlaubnisverfahrens nach Artikel 29 der Verordnung (EU) 2016/631 nachzuweisen, dass die allgemeinen technischen Mindestanforderungen nach § 19 des Energiewirtschaftsgesetzes und die technischen Anforderungen nach § 3 der Energieanlagen-Anforderungen-Verordnung vom 16. Mai 2024 (BGBl. 2024 I Nr. 159) eingehalten werden.</w:t>
      </w:r>
    </w:p>
    <w:p>
      <w:r>
        <w:t xml:space="preserve">(2) Das Nachweisdokument für Erzeugungsanlagen der Typen B und C im Sinne der Verordnung (EU) 2016/631 ist von einer Zertifizierungsstelle gemäß DIN EN ISO/IEC 17065, Ausgabe Januar 2013[2], auszustellen. Die Zertifizierungsstelle muss von einer nationalen Akkreditierungsstelle im Sinne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in der jeweils geltenden Fassung akkreditiert worden sein.</w:t>
      </w:r>
    </w:p>
    <w:p>
      <w:r>
        <w:t xml:space="preserve">(2a) Das Nachweisdokument für Erzeugungsanlagen der Typen B und C im Sinne der Verordnung (EU) 2016/631 besteht mindestens aus einem Anlagenzertifikat und einer Konformitätserklärung. Die Vorlage eines von einer Zertifizierungsstelle nach Absatz 2 ausgestellten Anlagenzertifikats für Erzeugungsanlagen des Typs B gegenüber dem zuständigen Netzbetreiber berechtigt den Betreiber der Erzeugungsanlage zur vorläufigen Inbetriebnahme der Anlage nach Maßgabe des Absatzes 2b. Die Regelungen für Prototypen in den technischen Regeln des in § 49 Absatz 2 Satz 1 Nummer 1 des Energiewirtschaftsgesetzes bezeichneten Verbandes bleiben unberührt.</w:t>
      </w:r>
    </w:p>
    <w:p>
      <w:r>
        <w:t xml:space="preserve">(2b) Hat der Betreiber der Erzeugungsanlage eine Zertifizierungsstelle zum Zwecke der Inbetriebnahme einer Erzeugungsanlage des Typs B mit einer maximalen Wirkleistung von bis zu 950 Kilowatt beauftragt, muss diese Zertifizierungsstelle auf Verlangen des Anlagenbetreibers das Anlagenzertifikat unter der Auflage ausstellen, dass der Betreiber der Anlage innerhalb von 18 Monaten ab Inbetriebsetzung der ersten Erzeugungseinheit nach Ausstellung des Anlagenzertifikats die erforderlichen Nachweise vollständig im Sinne des Absatzes 1 einreicht. Das Anlagenzertifikat unter der Auflage nach Satz 1 darf bis einschließlich 31. Dezember 2025 ausgestellt werden und nur, wenn zum Zeitpunkt der Ausstellung entsprechend den allgemeinen technischen Mindestanforderungen nach § 19 Absatz 4 des Energiewirtschaftsgesetzes folgende Anforderungen nachgewiesen sind:</w:t>
      </w:r>
    </w:p>
    <w:p>
      <w:pPr>
        <w:ind w:left="420"/>
      </w:pPr>
      <w:r>
        <w:t xml:space="preserve">1. gültige Einheitenzertifikate der zertifizierungspflichtigen Erzeugungseinheiten,</w:t>
      </w:r>
    </w:p>
    <w:p>
      <w:pPr>
        <w:ind w:left="420"/>
      </w:pPr>
      <w:r>
        <w:t xml:space="preserve">2. die mit dem Netzbetreiber vereinbarten Leistungsangaben der Anschluss-Scheinleistung, der Wirkleistung jeweils für Einspeisung und Bezug sowie der installierten Wirkleistung,</w:t>
      </w:r>
    </w:p>
    <w:p>
      <w:pPr>
        <w:ind w:left="420"/>
      </w:pPr>
      <w:r>
        <w:t xml:space="preserve">3. das Schutzkonzept, bestehend aus übergeordnetem Entkupplungsschutz, Entkupplungsschutz der Erzeugungseinheit, Eigenschutz der Erzeugungseinheit, und die Erfüllung der Vorgaben des Netzbetreibers und</w:t>
      </w:r>
    </w:p>
    <w:p>
      <w:pPr>
        <w:ind w:left="420"/>
      </w:pPr>
      <w:r>
        <w:t xml:space="preserve">4. das Konzept zur Wirkleistungssteuerung des Netzsicherheitsmanagements und zur Blindleistungsregelung sowie deren Eignung zur Umsetzung der Vorgaben des Netzbetreibers.</w:t>
      </w:r>
    </w:p>
    <w:p>
      <w:r>
        <w:t xml:space="preserve">(3) Die Überprüfung von Simulationsmodellen für das Verhalten von Erzeugungsanlagen der Typen C und D im Sinne der Verordnung (EU) 2016/631 gemäß Artikel 15 Absatz 6 Buchstabe c und Artikel 16 Absatz 1 der Verordnung (EU) 2016/631 ist von einer Zertifizierungsstelle gemäß DIN EN ISO/IEC 17065, Ausgabe Januar 2013[3], durchzuführen. Die Zertifizierungsstelle muss von einer nationalen Akkreditierungsstelle im Sinne der Verordnung (EG) Nr. 765/2008 in der jeweils geltenden Fassung akkreditiert worden sein.</w:t>
      </w:r>
    </w:p>
    <w:p>
      <w:r>
        <w:t xml:space="preserve">(4) Die Absätze 2 bis 2b sind nicht anzuwenden auf Erzeugungsanlagen des Typs B, die</w:t>
      </w:r>
    </w:p>
    <w:p>
      <w:pPr>
        <w:ind w:left="420"/>
      </w:pPr>
      <w:r>
        <w:t xml:space="preserve">1. eine maximale Einspeiseleistung von 270 Kilowatt am Verknüpfungspunkt mit dem Netz der allgemeinen Versorgung erbringen,</w:t>
      </w:r>
    </w:p>
    <w:p>
      <w:pPr>
        <w:ind w:left="420"/>
      </w:pPr>
      <w:r>
        <w:t xml:space="preserve">2. eine kumulierte installierte Leistung von bis zu 270 Kilowatt hinter demselben Verknüpfungspunkt mit dem Netz der allgemeinen Versorgung aufweisen und</w:t>
      </w:r>
    </w:p>
    <w:p>
      <w:pPr>
        <w:ind w:left="420"/>
      </w:pPr>
      <w:r>
        <w:t xml:space="preserve">3. über gültige Einheiten- und Komponentenzertifikate für alle zertifizierungspflichtigen Einheiten und Komponenten nach den technischen Anschlussregeln für Erzeugungsanlagen mit Anschluss an ein Niederspannungsnetz des in § 49 Absatz 2 Satz 1 Nummer 1 des Energiewirtschaftsgesetzes bezeichneten Verbandes verfügen.</w:t>
      </w:r>
    </w:p>
    <w:p>
      <w:r>
        <w:t xml:space="preserve">Satz 1 gilt entsprechend für Erzeugungsanlagen des Typs B, die eine kumulierte installierte Leistung von über 270 Kilowatt und bis zu 500 Kilowatt hinter demselben Verknüpfungspunkt mit dem Netz der allgemeinen Versorgung in der Mittelspannung oder in einer höheren Spannungsebene aufweisen und deren Betreiber dem zuständigen Netzbetreiber zusätzlich zu den in Satz 1 Nummer 1 und Nummer 3 genannten Anforderungen durch ein nach den allgemein anerkannten Regeln der Technik erstelltes Prüfprotokoll nachgewiesen haben, dass Entkupplungsschutzeinrichtungen, die in den technischen Anschlussregeln für Erzeugungsanlagen des in § 49 Absatz 2 Satz 1 Nummer 1 des Energiewirtschaftsgesetzes bezeichneten Verbandes für die jeweilige Spannungsebene gefordert werden, oder alternative Einrichtungen, die in den technischen Anschlussregeln für Erzeugungsanlagen des in § 49 Absatz 2 Satz 1 Nummer 1 des Energiewirtschaftsgesetzes bezeichneten Verbandes als diesen im Hinblick auf die Schutzfunktion gleichwertig anerkannt sind, fachgerecht installiert und in Betrieb genommen wurden. Die freiwillige Nachweiserbringung nach den Absätzen 2 bis 2b bleibt den Betreibern von Erzeugungsanlagen in den in den Sätzen 1 und 2 genannten Fällen unbenommen. Die Regelungen für Prototypen in den technischen Regeln des in § 49 Absatz 2 Satz 1 Nummer 1 des Energiewirtschaftsgesetzes bezeichneten Verbandes bleiben unberührt.</w:t>
      </w:r>
    </w:p>
    <w:p>
      <w:r>
        <w:t xml:space="preserve">(5) Elektrotechnische Eigenschaften von Erzeugungsanlagen, die in den Anwendungsbereich des § 118 Absatz 25 Satz 1 des Energiewirtschaftsgesetzes fallen, werden im Rahmen des Betriebserlaubnisverfahrens von neu in Betrieb zu nehmenden Anlagen nach Artikel 29 der Verordnung (EU) 2016/631 nicht berücksichtigt. Satz 1 ist nicht anzuwenden auf</w:t>
      </w:r>
    </w:p>
    <w:p>
      <w:pPr>
        <w:ind w:left="420"/>
      </w:pPr>
      <w:r>
        <w:t xml:space="preserve">1. Erzeugungsanlagen mit einer kumulierten installierten Leistung von über 950 Kilowatt sowie</w:t>
      </w:r>
    </w:p>
    <w:p>
      <w:pPr>
        <w:ind w:left="420"/>
      </w:pPr>
      <w:r>
        <w:t xml:space="preserve">2. die Berechnung der maximalen Einspeiseleistung nach Absatz 4 Satz 1 Nummer 1 sowie die Berechnung der kumulierten installierten Leistung nach Absatz 4 Satz 1 Nummer 2 und Satz 2.</w:t>
      </w:r>
    </w:p>
    <w:p>
      <w:r>
        <w:t xml:space="preserve">(6) Der Hersteller von Einheiten oder Komponenten für Erzeugungsanlagen hat bei einer Aktualisierung der Betriebssoftware der Einheiten und Komponenten sicherzustellen, dass die vom Netzbetreiber vorgegebenen elektrotechnischen Eigenschaften der Anlage nicht überschrieben werden.</w:t>
      </w:r>
    </w:p>
    <w:p>
      <w:r>
        <w:t xml:space="preserve">2 Zu beziehen bei der Beuth Verlag GmbH, Berlin und beim Deutschen Patent- und Markenamt archivmäßig gesichert niedergelegt.</w:t>
      </w:r>
    </w:p>
    <w:p>
      <w:r>
        <w:t xml:space="preserve">3 Zu beziehen bei der Beuth Verlag GmbH, Berlin und beim Deutschen Patent- und Markenamt archivmäßig gesichert niedergelegt.</w:t>
      </w:r>
    </w:p>
    <w:p>
      <w:r>
        <w:rPr>
          <w:color w:val="555555"/>
          <w:sz w:val="17"/>
        </w:rPr>
        <w:t xml:space="preserve">Zitiervorschlag: § 2 NELEV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https://recht.nulegal.eu/gesetze/NELEV/2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