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NELEV — Anwendungsbereich</w:t>
      </w:r>
    </w:p>
    <w:p>
      <w:r>
        <w:rPr>
          <w:color w:val="555555"/>
          <w:sz w:val="18"/>
        </w:rPr>
        <w:t xml:space="preserve">Elektrotechnische-Eigenschaften-Nachweis-Verordnung</w:t>
      </w:r>
    </w:p>
    <w:p>
      <w:r>
        <w:rPr>
          <w:color w:val="555555"/>
          <w:sz w:val="18"/>
        </w:rPr>
        <w:t xml:space="preserve">Stand: 17.05.2024 (konsolidierte Textfassung, kein amtliches Inkrafttretensdatum)</w:t>
      </w:r>
    </w:p>
    <w:p>
      <w:r>
        <w:t xml:space="preserve">(1) Diese Verordnung regelt den Nachweis der Einhaltung der allgemeinen technischen Mindestanforderungen im Sinne des § 19 des Energiewirtschaftsgesetzes vom 7. Juli 2005 (BGBl. I S. 1970, 3621) in der jeweils geltenden Fassung für den Netzanschluss von Erzeugungsanlagen und dient der Wahrnehmung nationaler Gestaltungsspielräume nach Artikel 15 Absatz 6 Buchstabe c Unterabsatz i, nach Artikel 16 Absatz 1 und nach Artikel 32 Absatz 6 der Verordnung (EU) 2016/631 der Kommission vom 14. April 2016 zur Festlegung eines Netzkodex mit Netzanschlussbestimmungen für Stromerzeuger (ABl. L 112 vom 27.4.2016, S. 1).</w:t>
      </w:r>
    </w:p>
    <w:p>
      <w:r>
        <w:t xml:space="preserve">(2) Auf Anlagen zur Speicherung elektrischer Energie sind die Regelungen dieser Verordnung entsprechend anzuwenden.</w:t>
      </w:r>
    </w:p>
    <w:p>
      <w:r>
        <w:t xml:space="preserve">(3) Auf Erzeugungsanlagen, die zum Zeitpunkt des Inkrafttretens dieser Verordnung bereits an ein Elektrizitätsversorgungsnetz angeschlossen sind, ist diese Verordnung nur unter den Voraussetzungen des Artikels 4 der Verordnung (EU) 2016/631 anzuwenden.</w:t>
      </w:r>
    </w:p>
    <w:p>
      <w:r>
        <w:rPr>
          <w:color w:val="555555"/>
          <w:sz w:val="17"/>
        </w:rPr>
        <w:t xml:space="preserve">Zitiervorschlag: § 1 NELEV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https://recht.nulegal.eu/gesetze/NELEV/1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