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NDWV — Entsprechende Anwendung der Strahlenschutzverordnung</w:t>
      </w:r>
    </w:p>
    <w:p>
      <w:r>
        <w:rPr>
          <w:color w:val="555555"/>
          <w:sz w:val="18"/>
        </w:rPr>
        <w:t xml:space="preserve">Notfall-Dosiswerte-Verordnung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Schätzung der Dosiswerte nach dieser Verordnung gelten die §§ 1 und 171 sowie die Anlage 18 der Strahlenschutzverordnung entsprechend.</w:t>
      </w:r>
    </w:p>
    <w:p>
      <w:r>
        <w:rPr>
          <w:color w:val="555555"/>
          <w:sz w:val="17"/>
        </w:rPr>
        <w:t xml:space="preserve">Zitiervorschlag: § 5 NDWV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