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NDWV — Evakuierung</w:t>
      </w:r>
    </w:p>
    <w:p>
      <w:r>
        <w:rPr>
          <w:color w:val="555555"/>
          <w:sz w:val="18"/>
        </w:rPr>
        <w:t xml:space="preserve">Notfall-Dosiswerte-Verordnung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Radiologisches Kriterium für die Angemessenheit einer Evakuierung ist eine effektive Dosis von 100 Millisievert, die betroffene Personen ohne Schutzmaßnahmen bei einem Daueraufenthalt im Freien innerhalb von sieben Tagen erhalten würden.</w:t>
      </w:r>
    </w:p>
    <w:p>
      <w:r>
        <w:t xml:space="preserve">(2) Der Dosiswert ist zu schätzen als Summe</w:t>
      </w:r>
    </w:p>
    <w:p>
      <w:pPr>
        <w:ind w:left="420"/>
      </w:pPr>
      <w:r>
        <w:t xml:space="preserve">1. der zu erwartenden effektiven Dosis durch äußere Exposition und</w:t>
      </w:r>
    </w:p>
    <w:p>
      <w:pPr>
        <w:ind w:left="420"/>
      </w:pPr>
      <w:r>
        <w:t xml:space="preserve">2. der zu erwartenden effektiven Folgedosis durch inhalierte Radionuklide.</w:t>
      </w:r>
    </w:p>
    <w:p>
      <w:r>
        <w:t xml:space="preserve">(3) Die Schätzung des Dosiswerts erfolgt ohne Berücksichtigung sonstiger Schutzfaktoren.</w:t>
      </w:r>
    </w:p>
    <w:p>
      <w:r>
        <w:rPr>
          <w:color w:val="555555"/>
          <w:sz w:val="17"/>
        </w:rPr>
        <w:t xml:space="preserve">Zitiervorschlag: § 4 NDWV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https://recht.nulegal.eu/gesetze/NDWV/4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