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NDWV — Aufforderung zur Einnahme von Jodtabletten</w:t>
      </w:r>
    </w:p>
    <w:p>
      <w:r>
        <w:rPr>
          <w:color w:val="555555"/>
          <w:sz w:val="18"/>
        </w:rPr>
        <w:t xml:space="preserve">Notfall-Dosiswerte-Verordnung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Radiologisches Kriterium für die Angemessenheit einer Aufforderung zur Einnahme von Jodtabletten ist</w:t>
      </w:r>
    </w:p>
    <w:p>
      <w:pPr>
        <w:ind w:left="420"/>
      </w:pPr>
      <w:r>
        <w:t xml:space="preserve">1. für betroffene Kinder und Jugendliche unter 18 Jahren sowie für Schwangere eine Folge-Organ-Äquivalentdosis der Schilddrüse von 50 Millisievert, die diese Personen bei einem Daueraufenthalt im Freien ohne Schutzmaßnahmen innerhalb von sieben Tagen erhalten würden, und</w:t>
      </w:r>
    </w:p>
    <w:p>
      <w:pPr>
        <w:ind w:left="420"/>
      </w:pPr>
      <w:r>
        <w:t xml:space="preserve">2. für betroffene Personen im Alter von 18 bis 45 Jahren eine Folge-Organ-Äquivalentdosis der Schilddrüse von 250 Millisievert, die diese Personen bei einem Daueraufenthalt im Freien ohne Schutzmaßnahmen innerhalb von sieben Tagen erhalten würden.</w:t>
      </w:r>
    </w:p>
    <w:p>
      <w:r>
        <w:t xml:space="preserve">(2) Der Dosiswert ist zu schätzen als die zu erwartende durch inhaliertes Radiojodid verursachte Folge-Organ-Äquivalentdosis der Schilddrüse.</w:t>
      </w:r>
    </w:p>
    <w:p>
      <w:r>
        <w:t xml:space="preserve">(3) Die Schätzung des Werts der Folge-Organ-Äquivalentdosis der Schilddrüse erfolgt ohne Berücksichtigung sonstiger Schutzfaktoren.</w:t>
      </w:r>
    </w:p>
    <w:p>
      <w:r>
        <w:rPr>
          <w:color w:val="555555"/>
          <w:sz w:val="17"/>
        </w:rPr>
        <w:t xml:space="preserve">Zitiervorschlag: § 3 NDWV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