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NDWV — Anwendungsbereich</w:t>
      </w:r>
    </w:p>
    <w:p>
      <w:r>
        <w:rPr>
          <w:color w:val="555555"/>
          <w:sz w:val="18"/>
        </w:rPr>
        <w:t xml:space="preserve">Notfall-Dosiswerte-Verordnung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legt zum Schutz der Bevölkerung vor den Gefahren ionisierender Strahlung Dosiswerte fest, die bei einem Notfall im Sinne des § 5 Absatz 26 des Strahlenschutzgesetzes als radiologische Kriterien für die Angemessenheit folgender Schutzmaßnahme dienen:</w:t>
      </w:r>
    </w:p>
    <w:p>
      <w:pPr>
        <w:ind w:left="420"/>
      </w:pPr>
      <w:r>
        <w:t xml:space="preserve">1. Aufforderung zum Aufenthalt in Gebäuden,</w:t>
      </w:r>
    </w:p>
    <w:p>
      <w:pPr>
        <w:ind w:left="420"/>
      </w:pPr>
      <w:r>
        <w:t xml:space="preserve">2. Aufforderung zur Einnahme von Jodtabletten,</w:t>
      </w:r>
    </w:p>
    <w:p>
      <w:pPr>
        <w:ind w:left="420"/>
      </w:pPr>
      <w:r>
        <w:t xml:space="preserve">3. Evakuierung.</w:t>
      </w:r>
    </w:p>
    <w:p>
      <w:r>
        <w:rPr>
          <w:color w:val="555555"/>
          <w:sz w:val="17"/>
        </w:rPr>
        <w:t xml:space="preserve">Zitiervorschlag: § 1 NDWV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