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NDAV — Anschlussnutzungsverhältnis</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Inhalt der Anschlussnutzung ist das Recht zur Nutzung des Netzanschlusses zur Entnahme von Gas. Die Anschlussnutzung umfasst weder die Belieferung des Anschlussnutzers mit Gas noch den Zugang zu den Gasversorgungsnetzen im Sinne des § 20 des Energiewirtschaftsgesetzes. Das Anschlussnutzungsverhältnis besteht zwischen dem jeweiligen Anschlussnutzer und dem Netzbetreiber.</w:t>
      </w:r>
    </w:p>
    <w:p>
      <w:r>
        <w:t xml:space="preserve">(2) Das Anschlussnutzungsverhältnis kommt dadurch zustande, dass über den Netzanschluss Gas aus dem Verteilernetz entnommen wird, wenn</w:t>
      </w:r>
    </w:p>
    <w:p>
      <w:pPr>
        <w:ind w:left="420"/>
      </w:pPr>
      <w:r>
        <w:t xml:space="preserve">1. der Anschlussnutzer spätestens im Zeitpunkt der erstmaligen Entnahme einen Vertrag über den Bezug von Gas abgeschlossen hat oder die Voraussetzungen einer Ersatzversorgung nach § 38 des Energiewirtschaftsgesetzes vorliegen und</w:t>
      </w:r>
    </w:p>
    <w:p>
      <w:pPr>
        <w:ind w:left="420"/>
      </w:pPr>
      <w:r>
        <w:t xml:space="preserve">2. dem Anschlussnutzer oder dessen Lieferanten ein Recht auf Netzzugang nach § 20 des Energiewirtschaftsgesetzes zusteht.</w:t>
      </w:r>
    </w:p>
    <w:p>
      <w:r>
        <w:t xml:space="preserve">Bei Kenntnis über den Wegfall der Voraussetzungen nach Satz 1 Nr. 2 ist der Netzbetreiber verpflichtet, den Anschlussnutzer und den Grundversorger hierüber unverzüglich in Textform zu unterrichten und den Anschlussnutzer auf die Grundversorgung nach § 36 des Energiewirtschaftsgesetzes und die Ersatzversorgung nach § 38 des Energiewirtschaftsgesetzes hinzuweisen.</w:t>
      </w:r>
    </w:p>
    <w:p>
      <w:r>
        <w:t xml:space="preserve">(3) Der Anschlussnutzer ist verpflichtet, dem Netzbetreiber die Aufnahme der Nutzung des Netzanschlusses zur Entnahme von Gas unverzüglich in Textform mitzuteilen. Der Netzbetreiber hat dem Anschlussnutzer die Mitteilung unverzüglich in Textform zu bestätigen. In der Bestätigung ist auf die Allgemeinen Bedingungen einschließlich der ergänzenden Bedingungen und auf die Haftung des Netzbetreibers nach § 18 hinzuweisen.</w:t>
      </w:r>
    </w:p>
    <w:p>
      <w:r>
        <w:rPr>
          <w:color w:val="555555"/>
          <w:sz w:val="17"/>
        </w:rPr>
        <w:t xml:space="preserve">Zitiervorschlag: § 3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