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NDAV — Inbetriebsetzung der Gasanlage</w:t>
      </w:r>
    </w:p>
    <w:p>
      <w:r>
        <w:rPr>
          <w:color w:val="555555"/>
          <w:sz w:val="18"/>
        </w:rPr>
        <w:t xml:space="preserve">Niederdruckanschlussverordnung</w:t>
      </w:r>
    </w:p>
    <w:p>
      <w:r>
        <w:rPr>
          <w:color w:val="555555"/>
          <w:sz w:val="18"/>
        </w:rPr>
        <w:t xml:space="preserve">Stand: 10.06.2019 (konsolidierte Textfassung, kein amtliches Inkrafttretensdatum)</w:t>
      </w:r>
    </w:p>
    <w:p>
      <w:r>
        <w:t xml:space="preserve">(1) Der Netzbetreiber oder dessen Beauftragter hat die Anlage über den Netzanschluss an das Verteilernetz anzuschließen und in Betrieb zu nehmen, indem er nach erfolgtem Einbau der Messeinrichtung und gegebenenfalls des Druckregelgerätes durch Öffnung der Absperreinrichtungen die Gaszufuhr freigibt. Die Anlage hinter diesen Einrichtungen hat das Installationsunternehmen in Betrieb zu setzen.</w:t>
      </w:r>
    </w:p>
    <w:p>
      <w:r>
        <w:t xml:space="preserve">(2) Jede Inbetriebsetzung der Anlage ist beim Netzbetreiber von dem Unternehmen, das nach § 13 Abs. 2 die Arbeiten an der Anlage ausgeführt hat, in Auftrag zu geben. Auf Verlangen des Netzbetreibers ist ein von diesem zur Verfügung gestellter Vordruck zu verwenden.</w:t>
      </w:r>
    </w:p>
    <w:p>
      <w:r>
        <w:t xml:space="preserve">(3) Der Netzbetreiber kann für die Inbetriebsetzung vom Anschlussnehmer Kostenerstattung verlangen. Die Kosten können auf der Grundlage der durchschnittlich für vergleichbare Fälle entstehenden Kosten pauschal berechnet werden. Die Kosten sind so darzustellen, dass der Anschlussnehmer die Anwendung des pauschalierten Berechnungsverfahrens einfach nachvollziehen kann.</w:t>
      </w:r>
    </w:p>
    <w:p>
      <w:r>
        <w:rPr>
          <w:color w:val="555555"/>
          <w:sz w:val="17"/>
        </w:rPr>
        <w:t xml:space="preserve">Zitiervorschlag: § 14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