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NDAV — Gasanlage</w:t>
      </w:r>
    </w:p>
    <w:p>
      <w:r>
        <w:rPr>
          <w:color w:val="555555"/>
          <w:sz w:val="18"/>
        </w:rPr>
        <w:t xml:space="preserve">Niederdruckanschlussverordnung</w:t>
      </w:r>
    </w:p>
    <w:p>
      <w:r>
        <w:rPr>
          <w:color w:val="555555"/>
          <w:sz w:val="18"/>
        </w:rPr>
        <w:t xml:space="preserve">Stand: 01.01.2022 (konsolidierte Textfassung, kein amtliches Inkrafttretensdatum)</w:t>
      </w:r>
    </w:p>
    <w:p>
      <w:r>
        <w:t xml:space="preserve">(1) Für die ordnungsgemäße Errichtung, Erweiterung, Änderung und Instandhaltung der Gasanlage hinter der Hauptabsperreinrichtung (Anlage), mit Ausnahme des Druckregelgerätes und der Messeinrichtungen, die nicht in seinem Eigentum stehen, ist der Anschlussnehmer verantwortlich. Satz 1 gilt nicht für die Messeinrichtungen, die nicht im Eigentum des Anschlussnehmers stehen. Hat der Anschlussnehmer die Anlage ganz oder teilweise einem Dritten vermietet oder sonst zur Benutzung überlassen, so bleibt er verantwortlich.</w:t>
      </w:r>
    </w:p>
    <w:p>
      <w:r>
        <w:t xml:space="preserve">(2) Die Anlage darf nur nach den Vorschriften dieser Verordnung, nach anderen anzuwendenden Rechtsvorschriften und behördlichen Bestimmungen sowie nach den anerkannten Regeln der Technik errichtet, erweitert, geändert und instand gehalten werden. In Bezug auf die allgemein anerkannten Regeln der Technik gilt § 49 Abs. 2 Nr. 2 des Energiewirtschaftsgesetzes entsprechend. Arbeiten an der Anlage dürfen, außer durch den Netzbetreiber, nur durch Installationsunternehmen durchgeführt werden, die in einem Installateurverzeichnis eines Netzbetreibers eingetragen sind, der im Geltungsbereich dieser Verordnung tätig ist. § 13a Absatz 8 bleibt unberührt. Es dürfen nur Materialien und Gasgeräte verwendet werden, die unter Beachtung der allgemein anerkannten Regeln der Technik hergestellt wurden. Die Einhaltung der Voraussetzungen des Satzes 4 wird vermutet, wenn die vorgeschriebene CE-Kennzeichnung vorhanden ist. Sofern die CE-Kennzeichnung nicht vorgeschrieben ist, wird dies auch vermutet, wenn die Materialien oder Gasgeräte das Zeichen einer akkreditierten Stelle tragen. Materialien und Gasgeräte, die</w:t>
      </w:r>
    </w:p>
    <w:p>
      <w:pPr>
        <w:ind w:left="420"/>
      </w:pPr>
      <w:r>
        <w:t xml:space="preserve">1. in einem anderen Mitgliedstaat der Europäischen Union oder der Türkei rechtmäßig hergestellt oder in den Verkehr gebracht worden sind oder</w:t>
      </w:r>
    </w:p>
    <w:p>
      <w:pPr>
        <w:ind w:left="420"/>
      </w:pPr>
      <w:r>
        <w:t xml:space="preserve">2. in einem anderen Vertragsstaat des Abkommens über den Europäischen Wirtschaftsraum rechtmäßig hergestellt worden sind</w:t>
      </w:r>
    </w:p>
    <w:p>
      <w:r>
        <w:t xml:space="preserve">und die den technischen Spezifikationen der Zeichen im Sinne des Satzes 6 nicht entsprechen, werden einschließlich der von den vorgenannten Staaten durchgeführten Prüfungen und Überwachungen als gleichwertig behandelt, wenn mit ihnen das geforderte Schutzniveau gleichermaßen dauerhaft erreicht wird. Der Netzbetreiber ist berechtigt, die Ausführung der Arbeiten zu überwachen.</w:t>
      </w:r>
    </w:p>
    <w:p>
      <w:r>
        <w:t xml:space="preserve">(3) Anlagenteile, die sich vor den Messeinrichtungen befinden, können vom Netzbetreiber plombiert werden. Die dafür erforderliche Ausstattung der Anlage ist nach den Angaben des Netzbetreibers vom Anschlussnehmer zu veranlassen.</w:t>
      </w:r>
    </w:p>
    <w:p>
      <w:r>
        <w:rPr>
          <w:color w:val="555555"/>
          <w:sz w:val="17"/>
        </w:rPr>
        <w:t xml:space="preserve">Zitiervorschlag: § 13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