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NAV — Gerichtsstand</w:t>
      </w:r>
    </w:p>
    <w:p>
      <w:r>
        <w:rPr>
          <w:color w:val="555555"/>
          <w:sz w:val="18"/>
        </w:rPr>
        <w:t xml:space="preserve">Niederspannungsanschlussverordnung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Gerichtsstand ist der Ort des Netzanschlusses und der Anschlussnutzung.</w:t>
      </w:r>
    </w:p>
    <w:p>
      <w:r>
        <w:rPr>
          <w:color w:val="555555"/>
          <w:sz w:val="17"/>
        </w:rPr>
        <w:t xml:space="preserve">Zitiervorschlag: § 28 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