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NAV — Beendigung des Anschlussnutzungsverhältnisses</w:t>
      </w:r>
    </w:p>
    <w:p>
      <w:r>
        <w:rPr>
          <w:color w:val="555555"/>
          <w:sz w:val="18"/>
        </w:rPr>
        <w:t xml:space="preserve">Niederspannungsanschlussverordnung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Anschlussnutzungsverhältnis besteht, bis der Anschlussnutzer die Anschlussnutzung einstellt. Er ist verpflichtet, dies dem Netzbetreiber unverzüglich mitzuteilen.</w:t>
      </w:r>
    </w:p>
    <w:p>
      <w:r>
        <w:t xml:space="preserve">(2) Im Falle einer Kündigung des Netzanschlussvertrages nach § 25 oder § 27 endet das Anschlussnutzungsverhältnis mit der Beendigung des Netzanschlussvertrages.</w:t>
      </w:r>
    </w:p>
    <w:p>
      <w:r>
        <w:rPr>
          <w:color w:val="555555"/>
          <w:sz w:val="17"/>
        </w:rPr>
        <w:t xml:space="preserve">Zitiervorschlag: § 26 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