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NAV — Kündigung des Netzanschlussverhältnisses</w:t>
      </w:r>
    </w:p>
    <w:p>
      <w:r>
        <w:rPr>
          <w:color w:val="555555"/>
          <w:sz w:val="18"/>
        </w:rPr>
        <w:t xml:space="preserve">Niederspannungsanschlussverordnung</w:t>
      </w:r>
    </w:p>
    <w:p>
      <w:r>
        <w:rPr>
          <w:color w:val="555555"/>
          <w:sz w:val="18"/>
        </w:rPr>
        <w:t xml:space="preserve">Stand: 10.06.2019 (konsolidierte Textfassung, kein amtliches Inkrafttretensdatum)</w:t>
      </w:r>
    </w:p>
    <w:p>
      <w:r>
        <w:t xml:space="preserve">(1) Das Netzanschlussverhältnis kann mit einer Frist von einem Monat auf das Ende eines Kalendermonats gekündigt werden. Eine Kündigung durch den Netzbetreiber ist nur möglich, soweit eine Pflicht zum Netzanschluss nach § 18 Absatz 1 Satz 2 Nummer 1 des Energiewirtschaftsgesetzes nicht besteht.</w:t>
      </w:r>
    </w:p>
    <w:p>
      <w:r>
        <w:t xml:space="preserve">(2) Tritt an Stelle des bisherigen Netzbetreibers ein anderes Unternehmen in die sich aus dem Netzanschlussverhältnis ergebenden Rechte und Pflichten ein, so bedarf es hierfür nicht der Zustimmung des Anschlussnehmers. Der Wechsel des Netzbetreibers ist öffentlich bekannt zu machen und auf der Internetseite des Netzbetreibers zu veröffentlichen.</w:t>
      </w:r>
    </w:p>
    <w:p>
      <w:r>
        <w:t xml:space="preserve">(3) Die Kündigung bedarf der Textform.</w:t>
      </w:r>
    </w:p>
    <w:p>
      <w:r>
        <w:rPr>
          <w:color w:val="555555"/>
          <w:sz w:val="17"/>
        </w:rPr>
        <w:t xml:space="preserve">Zitiervorschlag: § 25 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