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NATOTrStatVtrG</w:t>
      </w:r>
    </w:p>
    <w:p>
      <w:r>
        <w:rPr>
          <w:color w:val="555555"/>
          <w:sz w:val="18"/>
        </w:rPr>
        <w:t xml:space="preserve">Gesetz zum NATO-Truppenstatut und zu den Zusatzvereinbarungen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Grundrechte der körperlichen Unversehrtheit (Artikel 2 Abs. 2 Satz 1 des Grundgesetzes), der Freiheit der Person (Artikel 2 Abs. 2 Satz 2 des Grundgesetzes) und der Unverletzlichkeit der Wohnung (Artikel 13 des Grundgesetzes) werden nach Maßgabe der §§ 1 bis 3 eingeschränkt.</w:t>
      </w:r>
    </w:p>
    <w:p>
      <w:r>
        <w:rPr>
          <w:color w:val="555555"/>
          <w:sz w:val="17"/>
        </w:rPr>
        <w:t xml:space="preserve">Zitiervorschlag: § 4 NATOTrStatVtrG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https://recht.nulegal.eu/gesetze/NATOTrStatVtrG/4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