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NATOTrStatVtrG</w:t>
      </w:r>
    </w:p>
    <w:p>
      <w:r>
        <w:rPr>
          <w:color w:val="555555"/>
          <w:sz w:val="18"/>
        </w:rPr>
        <w:t xml:space="preserve">Gesetz zum NATO-Truppenstatut und zu den Zusatzvereinbarungen</w:t>
      </w:r>
    </w:p>
    <w:p>
      <w:r>
        <w:rPr>
          <w:color w:val="555555"/>
          <w:sz w:val="18"/>
        </w:rPr>
        <w:t xml:space="preserve">Stand: 10.06.2019 (konsolidierte Textfassung, kein amtliches Inkrafttretensdatum)</w:t>
      </w:r>
    </w:p>
    <w:p>
      <w:r>
        <w:t xml:space="preserve">Soweit die Behörden des Entsendestaates die Gerichtsbarkeit ausüben, sind die Strafverfolgungsbehörden auf deren Ersuchen befugt, zur Erfüllung der sich aus Artikel VII Abs. 5 Buchstabe a und Abs. 6 Buchstabe a des NATO-Truppenstatuts ergebenden Verpflichtungen den Verfolgten vorläufig festzunehmen und bis zur Übergabe an die Militärbehörde des Entsendestaates festzuhalten sowie Beschlagnahme und Durchsuchung durchzuführen und sonstige zur Erfüllung der Verpflichtung erforderlichen Ermittlungshandlungen vorzunehmen. Die Bestimmungen der Strafprozeßordnung gelten entsprechend, soweit nachstehend nicht anderes bestimmt ist.</w:t>
      </w:r>
    </w:p>
    <w:p>
      <w:r>
        <w:rPr>
          <w:color w:val="555555"/>
          <w:sz w:val="17"/>
        </w:rPr>
        <w:t xml:space="preserve">Zitiervorschlag: § 1 NATOTrStatVtrG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https://recht.nulegal.eu/gesetze/NATOTrStatVtrG/1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