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NATOProtG</w:t>
      </w:r>
    </w:p>
    <w:p>
      <w:r>
        <w:rPr>
          <w:color w:val="555555"/>
          <w:sz w:val="18"/>
        </w:rPr>
        <w:t xml:space="preserve">Gesetz zum Protokoll über die NATO-Hauptquartiere und zu den Ergänzungsvereinbarungen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Artikel 3 Abs. 1 des Protokolls über die NATO-Hauptquartiere bezeichneten Personen, die nicht zu dem durch das Statusübereinkommen erfaßten Personenkreis gehören und weder deutsche Staatsangehörige noch Angehörige deutscher Staatsangehöriger sind, werden bei der Ein- und Ausfuhr und dem Bezug von Waren dieselben Vergünstigungen gewährt, wie den durch das Statusübereinkommen begünstigten Personen.</w:t>
      </w:r>
    </w:p>
    <w:p>
      <w:r>
        <w:rPr>
          <w:color w:val="555555"/>
          <w:sz w:val="17"/>
        </w:rPr>
        <w:t xml:space="preserve">Zitiervorschlag: Art 5 NATOProtG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https://recht.nulegal.eu/gesetze/NATOProtG/5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