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NABEG — Antrag auf Bundesfachplanung</w:t>
      </w:r>
    </w:p>
    <w:p>
      <w:r>
        <w:rPr>
          <w:color w:val="555555"/>
          <w:sz w:val="18"/>
        </w:rPr>
        <w:t xml:space="preserve">Netzausbaubeschleunigungsgesetz Übertragungsnetz</w:t>
      </w:r>
    </w:p>
    <w:p>
      <w:r>
        <w:rPr>
          <w:color w:val="555555"/>
          <w:sz w:val="18"/>
        </w:rPr>
        <w:t xml:space="preserve">Stand: 30.07.2022 (konsolidierte Textfassung, kein amtliches Inkrafttretensdatum)</w:t>
      </w:r>
    </w:p>
    <w:p>
      <w:r>
        <w:t xml:space="preserve">Die Bundesfachplanung beginnt mit dem Antrag des Vorhabenträgers. Der Antrag ist spätestens 18 Monate nach Aufnahme des Vorhabens in den Bundesbedarfsplan durch den Vorhabenträger zu stellen, wenn das Bundesbedarfsplangesetz keine hiervon abweichende Kennzeichnung enthält. Die Bundesnetzagentur kann auf begründeten Antrag des Vorhabenträgers die Frist verlängern. Die für die Raumordnung zuständigen Behörden der Länder, auf deren Gebiet ein Trassenkorridor verlaufen könnte, sind über die Fristverlängerung zu benachrichtigen. Der Antrag kann zunächst auf einzelne angemessene Abschnitte von Trassenkorridoren beschränkt werden. Der Antrag soll Angaben enthalten, die die Festlegung des Untersuchungsrahmens nach § 7 ermöglichen, und hat daher in allgemein verständlicher Form das geplante Vorhaben darzustellen. Der Antrag muss enthalten:</w:t>
      </w:r>
    </w:p>
    <w:p>
      <w:pPr>
        <w:ind w:left="420"/>
      </w:pPr>
      <w:r>
        <w:t xml:space="preserve">1. in Frage kommende Verläufe des für die Ausbaumaßnahme erforderlichen Trassenkorridors,</w:t>
      </w:r>
    </w:p>
    <w:p>
      <w:pPr>
        <w:ind w:left="420"/>
      </w:pPr>
      <w:r>
        <w:t xml:space="preserve">2. bei Vorhaben im Sinne von § 2 Absatz 5 des Bundesbedarfsplangesetzes eine Kennzeichnung von Erdkabel- und Freileitungsabschnitten in den in Frage kommenden Verläufen sowie die Gründe, aus denen in Teilabschnitten ausnahmsweise eine Freileitung in Betracht kommt,</w:t>
      </w:r>
    </w:p>
    <w:p>
      <w:pPr>
        <w:ind w:left="420"/>
      </w:pPr>
      <w:r>
        <w:t xml:space="preserve">3. Erläuterungen zu den nach Nummer 1 in Frage kommenden Verläufen unter Berücksichtigung der erkennbaren Umweltauswirkungen und der zu bewältigenden raumordnerischen Konflikte und,</w:t>
      </w:r>
    </w:p>
    <w:p>
      <w:pPr>
        <w:ind w:left="420"/>
      </w:pPr>
      <w:r>
        <w:t xml:space="preserve">4. soweit ein vereinfachtes Verfahren der Bundesfachplanung nach § 11 für die gesamte Ausbaumaßnahme oder für einzelne Streckenabschnitte durchgeführt werden soll, die Darlegung der dafür erforderlichen Voraussetzungen.</w:t>
      </w:r>
    </w:p>
    <w:p>
      <w:r>
        <w:rPr>
          <w:color w:val="555555"/>
          <w:sz w:val="17"/>
        </w:rPr>
        <w:t xml:space="preserve">Zitiervorschlag: § 6 NABEG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https://recht.nulegal.eu/gesetze/NABEG/6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