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NABEG — Verzicht auf Bundesfachplanung</w:t>
      </w:r>
    </w:p>
    <w:p>
      <w:r>
        <w:rPr>
          <w:color w:val="555555"/>
          <w:sz w:val="18"/>
        </w:rPr>
        <w:t xml:space="preserve">Netzausbaubeschleunigungsgesetz Übertragungsnetz</w:t>
      </w:r>
    </w:p>
    <w:p>
      <w:r>
        <w:rPr>
          <w:color w:val="555555"/>
          <w:sz w:val="18"/>
        </w:rPr>
        <w:t xml:space="preserve">Stand: 13.10.2022 (konsolidierte Textfassung, kein amtliches Inkrafttretensdatum)</w:t>
      </w:r>
    </w:p>
    <w:p>
      <w:r>
        <w:t xml:space="preserve">(1) Auf die Durchführung der Bundesfachplanung soll in folgenden Fällen verzichtet werden:</w:t>
      </w:r>
    </w:p>
    <w:p>
      <w:pPr>
        <w:ind w:left="420"/>
      </w:pPr>
      <w:r>
        <w:t xml:space="preserve">1. bei der Änderung oder Erweiterung einer Leitung,</w:t>
      </w:r>
    </w:p>
    <w:p>
      <w:pPr>
        <w:ind w:left="420"/>
      </w:pPr>
      <w:r>
        <w:t xml:space="preserve">2. bei einem Ersatzneubau oder</w:t>
      </w:r>
    </w:p>
    <w:p>
      <w:pPr>
        <w:ind w:left="420"/>
      </w:pPr>
      <w:r>
        <w:t xml:space="preserve">3. bei einem Neubau oder der Verlegung von Leerrohren innerhalb eines Trassenkorridors, der in einem Raumordnungsplan im Sinne von § 3 Absatz 1 Nummer 7 des Raumordnungsgesetzes festgelegt oder im Bundesnetzplan ausgewiesen ist.</w:t>
      </w:r>
    </w:p>
    <w:p>
      <w:r>
        <w:t xml:space="preserve">Der Verzicht auf die Durchführung der Bundesfachplanung kann auf einzelne Trassenabschnitte beschränkt werden. Bei der Änderung oder Erweiterung einer Leitung soll nach Satz 1 Nummer 1 auch dann auf die Durchführung der Bundesfachplanung verzichtet werden, wenn abweichend von § 3 Nummer 1 Buchstabe a, b und c eine Erhöhung von Masten von mehr als 20 Prozent erforderlich ist.</w:t>
      </w:r>
    </w:p>
    <w:p>
      <w:r>
        <w:t xml:space="preserve">(2) Auf die Durchführung der Bundesfachplanung kann bei einem Ersatz- oder Parallelneubau, der weit überwiegend in oder unmittelbar neben einer Bestandstrasse erfolgt, verzichtet werden. Der Verzicht auf die Durchführung der Bundesfachplanung kann auf einzelne Trassenabschnitte beschränkt werden.</w:t>
      </w:r>
    </w:p>
    <w:p>
      <w:r>
        <w:t xml:space="preserve">(3) Über das Erfordernis der Durchführung der Bundesfachplanung ist innerhalb einer Frist von acht Wochen nach Einreichung der entsprechenden Unterlagen zu entscheiden. Der Vorhabenträger muss darin den Verlauf der Bestandstrasse oder des ausgewiesenen Trassenkorridors angeben und nachweisen, dass die Änderung, die Erweiterung oder der Neubau nach Absatz 1 oder 2 auf Grund der örtlichen Gegebenheiten ohne Durchführung der Bundesfachplanung möglich ist. § 15 Absatz 3 Satz 1 und 2 ist entsprechend anzuwenden.</w:t>
      </w:r>
    </w:p>
    <w:p>
      <w:r>
        <w:t xml:space="preserve">(4) Wenn ein Vorhaben oder eine Einzelmaßnahme im Bundesbedarfsplangesetz entsprechend gekennzeichnet ist, ist auf die Durchführung der Bundesfachplanung zu verzichten. Eine Entscheidung nach Absatz 3 ist in diesem Fall entbehrlich.</w:t>
      </w:r>
    </w:p>
    <w:p>
      <w:r>
        <w:t xml:space="preserve">(4a) Für Vorhaben, für die ein Präferenzraum nach § 3 Nummer 10 entwickelt wurde, entfällt die Bundesfachplanung.</w:t>
      </w:r>
    </w:p>
    <w:p>
      <w:r>
        <w:t xml:space="preserve">(5) Bei einem Verzicht auf die Bundesfachplanung erfolgt die Prüfung der öffentlichen und privaten Belange im Sinne des § 5 im Planfeststellungsverfahren.</w:t>
      </w:r>
    </w:p>
    <w:p>
      <w:r>
        <w:t xml:space="preserve">(6) Der Verzicht auf die Durchführung der Bundesfachplanung ist in den Fällen der Absätze 1 und 2 spätestens 18 Monate nach Aufnahme des Vorhabens in den Bundesbedarfsplan durch den Vorhabenträger zu beantragen, wenn das Bundesbedarfsplangesetz keine hiervon abweichende Kennzeichnung enthält. Die Bundesnetzagentur kann auf begründeten Antrag des Vorhabenträgers die Frist verlängern.</w:t>
      </w:r>
    </w:p>
    <w:p>
      <w:r>
        <w:rPr>
          <w:color w:val="555555"/>
          <w:sz w:val="17"/>
        </w:rPr>
        <w:t xml:space="preserve">Zitiervorschlag: § 5a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