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NABEG — Zweck der Bundesfachplanung</w:t>
      </w:r>
    </w:p>
    <w:p>
      <w:r>
        <w:rPr>
          <w:color w:val="555555"/>
          <w:sz w:val="18"/>
        </w:rPr>
        <w:t xml:space="preserve">Netzausbaubeschleunigungsgesetz Übertragungsnetz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Für die in einem Gesetz über den Bundesbedarfsplan nach § 12e Absatz 4 Satz 1 des Energiewirtschaftsgesetzes als länderübergreifend oder grenzüberschreitend oder als Offshore-Anbindungsleitungen gekennzeichneten Höchstspannungsleitungen werden durch die Bundesfachplanung Trassenkorridore bestimmt. Diese sind die Grundlage für die nachfolgenden Planfeststellungsverfahren.</w:t>
      </w:r>
    </w:p>
    <w:p>
      <w:r>
        <w:rPr>
          <w:color w:val="555555"/>
          <w:sz w:val="17"/>
        </w:rPr>
        <w:t xml:space="preserve">Zitiervorschlag: § 4 NABEG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https://recht.nulegal.eu/gesetze/NABEG/4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