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NABEG — Vorlage- und Auskunftspflicht der Bundesnetzagentur</w:t>
      </w:r>
    </w:p>
    <w:p>
      <w:r>
        <w:rPr>
          <w:color w:val="555555"/>
          <w:sz w:val="18"/>
        </w:rPr>
        <w:t xml:space="preserve">Netzausbaubeschleunigungsgesetz Übertragungsnetz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§ 99 der Verwaltungsgerichtsordnung ist mit der Maßgabe anzuwenden, dass an die Stelle der obersten Aufsichtsbehörde die Bundesnetzagentur tritt.</w:t>
      </w:r>
    </w:p>
    <w:p>
      <w:r>
        <w:rPr>
          <w:color w:val="555555"/>
          <w:sz w:val="17"/>
        </w:rPr>
        <w:t xml:space="preserve">Zitiervorschlag: § 36 NABEG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https://recht.nulegal.eu/gesetze/NABEG/36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