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NABEG — Bundesfachplanungsbeirat</w:t>
      </w:r>
    </w:p>
    <w:p>
      <w:r>
        <w:rPr>
          <w:color w:val="555555"/>
          <w:sz w:val="18"/>
        </w:rPr>
        <w:t xml:space="preserve">Netzausbaubeschleunigungsgesetz Übertragungsnetz</w:t>
      </w:r>
    </w:p>
    <w:p>
      <w:r>
        <w:rPr>
          <w:color w:val="555555"/>
          <w:sz w:val="18"/>
        </w:rPr>
        <w:t xml:space="preserve">Stand: 10.06.2019 (konsolidierte Textfassung, kein amtliches Inkrafttretensdatum)</w:t>
      </w:r>
    </w:p>
    <w:p>
      <w:r>
        <w:t xml:space="preserve">(1) Bei der Bundesnetzagentur wird ein ständiger Bundesfachplanungsbeirat gebildet. Der Beirat besteht aus Vertretern der Bundesnetzagentur, Vertretern der Länder und Vertretern der Bundesregierung.</w:t>
      </w:r>
    </w:p>
    <w:p>
      <w:r>
        <w:t xml:space="preserve">(2) Der Bundesfachplanungsbeirat hat die Aufgabe, die Bundesnetzagentur in Grundsatzfragen zur Bundesfachplanung und zur Aufstellung des Bundesnetzplans sowie zu den Grundsätzen der Planfeststellung zu beraten. Er ist gegenüber der Bundesnetzagentur berechtigt, allgemeine Auskünfte und Stellungnahmen einzuholen. Die Bundesnetzagentur und die zuständigen Landesbehörden sind insoweit in nicht personenbezogener Form gegenseitig auskunftspflichtig.</w:t>
      </w:r>
    </w:p>
    <w:p>
      <w:r>
        <w:t xml:space="preserve">(3) Der Beirat soll regelmäßig zusammentreten. Sitzungen sind anzuberaumen, wenn die Bundesnetzagentur oder mindestens zwei Länder die Einberufung schriftlich oder elektronisch verlangen. Die ordentlichen Sitzungen sind nicht öffentlich.</w:t>
      </w:r>
    </w:p>
    <w:p>
      <w:r>
        <w:t xml:space="preserve">(4) Der Beirat gibt sich eine Geschäftsordnung.</w:t>
      </w:r>
    </w:p>
    <w:p>
      <w:r>
        <w:rPr>
          <w:color w:val="555555"/>
          <w:sz w:val="17"/>
        </w:rPr>
        <w:t xml:space="preserve">Zitiervorschlag: § 32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