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NABEG — Vorzeitige Besitzeinweisung und Enteignungsverfahren</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(1) Der Vorhabenträger kann verlangen, dass nach Abschluss des Anhörungsverfahrens gemäß § 22 eine vorzeitige Besitzeinweisung durchgeführt wird. § 44b des Energiewirtschaftsgesetzes findet mit der Maßgabe Anwendung, dass der nach dem Verfahrensstand zu erwartende Planfeststellungsbeschluss dem vorzeitigen Besitzeinweisungsverfahren zugrunde zu legen ist. Der Besitzeinweisungsbeschluss ist mit der aufschiebenden Bedingung zu erlassen, dass sein Ergebnis durch den Planfeststellungsbeschluss bestätigt wird. Anderenfalls ist das vorzeitige Besitzeinweisungsverfahren auf der Grundlage des ergangenen Planfeststellungsbeschlusses zu ergänzen.</w:t>
      </w:r>
    </w:p>
    <w:p>
      <w:r>
        <w:t xml:space="preserve">(2) Der Vorhabenträger kann verlangen, dass nach Abschluss des Anhörungsverfahrens gemäß § 22 ein vorzeitiges Enteignungsverfahren durchgeführt wird. § 45 des Energiewirtschaftsgesetzes findet mit der Maßgabe Anwendung, dass der nach dem Verfahrensstand zu erwartende Planfeststellungsbeschluss dem Enteignungsverfahren zugrunde zu legen ist. Der Enteignungsbeschluss ist mit der aufschiebenden Bedingung zu erlassen, dass sein Ergebnis durch den Planfeststellungsbeschluss bestätigt wird. Anderenfalls ist das Enteignungsverfahren auf der Grundlage des ergangenen Planfeststellungsbeschlusses zu ergänzen.</w:t>
      </w:r>
    </w:p>
    <w:p>
      <w:r>
        <w:rPr>
          <w:color w:val="555555"/>
          <w:sz w:val="17"/>
        </w:rPr>
        <w:t xml:space="preserve">Zitiervorschlag: § 27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