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NABEG — Änderungen im Anzeigeverfahren</w:t>
      </w:r>
    </w:p>
    <w:p>
      <w:r>
        <w:rPr>
          <w:color w:val="555555"/>
          <w:sz w:val="18"/>
        </w:rPr>
        <w:t xml:space="preserve">Netzausbaubeschleunigungsgesetz Übertragungsnetz</w:t>
      </w:r>
    </w:p>
    <w:p>
      <w:r>
        <w:rPr>
          <w:color w:val="555555"/>
          <w:sz w:val="18"/>
        </w:rPr>
        <w:t xml:space="preserve">Stand: 23.03.2023 (konsolidierte Textfassung, kein amtliches Inkrafttretensdatum)</w:t>
      </w:r>
    </w:p>
    <w:p>
      <w:r>
        <w:t xml:space="preserve">(1) Unwesentliche Änderungen oder Erweiterungen können anstelle des Planfeststellungsverfahrens durch ein Anzeigeverfahren zugelassen werden. Eine Änderung oder Erweiterung ist nur dann unwesentlich, wenn</w:t>
      </w:r>
    </w:p>
    <w:p>
      <w:pPr>
        <w:ind w:left="420"/>
      </w:pPr>
      <w:r>
        <w:t xml:space="preserve">1. nach dem Gesetz über die Umweltverträglichkeitsprüfung oder nach Absatz 2 hierfür keine Umweltverträglichkeitsprüfung durchzuführen ist,</w:t>
      </w:r>
    </w:p>
    <w:p>
      <w:pPr>
        <w:ind w:left="420"/>
      </w:pPr>
      <w:r>
        <w:t xml:space="preserve">2. andere öffentliche Belange nicht berührt sind oder die erforderlichen behördlichen Entscheidungen vorliegen und sie dem Plan nicht entgegenstehen und</w:t>
      </w:r>
    </w:p>
    <w:p>
      <w:pPr>
        <w:ind w:left="420"/>
      </w:pPr>
      <w:r>
        <w:t xml:space="preserve">3. Rechte anderer nicht beeinträchtigt werden oder mit den vom Plan Betroffenen entsprechende Vereinbarungen getroffen werden.</w:t>
      </w:r>
    </w:p>
    <w:p>
      <w:r>
        <w:t xml:space="preserve">(2) Abweichend von den Vorschriften des Gesetzes über die Umweltverträglichkeitsprüfung ist eine Umweltverträglichkeitsprüfung für die Änderung oder Erweiterung nicht durchzuführen bei</w:t>
      </w:r>
    </w:p>
    <w:p>
      <w:pPr>
        <w:ind w:left="420"/>
      </w:pPr>
      <w:r>
        <w:t xml:space="preserve">1. standortnahen Maständerungen,</w:t>
      </w:r>
    </w:p>
    <w:p>
      <w:pPr>
        <w:ind w:left="420"/>
      </w:pPr>
      <w:r>
        <w:t xml:space="preserve">2. Umbeseilungen oder</w:t>
      </w:r>
    </w:p>
    <w:p>
      <w:pPr>
        <w:ind w:left="420"/>
      </w:pPr>
      <w:r>
        <w:t xml:space="preserve">3. Zubeseilungen.</w:t>
      </w:r>
    </w:p>
    <w:p>
      <w:r>
        <w:t xml:space="preserve">Satz 1 Nummer 2 und 3 ist nur anzuwenden, wenn die Planfeststellungsbehörde feststellt, dass die Vorgaben der §§ 3, 3a und 4 der Verordnung über elektromagnetische Felder und die Vorgaben der Technischen Anleitung zum Schutz gegen Lärm vom 26. August 1998 (GMBl S. 503) in der jeweils geltenden Fassung eingehalten sind. Einer Feststellung, dass die Vorgaben der Technischen Anleitung zum Schutz gegen Lärm vom 26. August 1998 (GMBl S. 503) in der jeweils geltenden Fassung eingehalten sind, bedarf es nicht bei Änderungen, welche nicht zu Änderungen der Beurteilungspegel im Sinne der Technischen Anleitung zum Schutz gegen Lärm in der jeweils geltenden Fassung führen. Satz 1 ist ferner nur anzuwenden, sofern einzeln oder im Zusammenwirken mit anderen Vorhaben eine erhebliche Beeinträchtigung eines Natura 2000-Gebiets oder eines bedeutenden Brut- oder Rastgebiets geschützter Vogelarten nicht zu erwarten ist. Satz 1 ist bei Höchstspannungsfreileitungen mit einer Nennspannung von 220 Kilovolt oder mehr ferner nur anzuwenden, wenn die Zubeseilung eine Länge von höchstens 15 Kilometern hat, oder die standortnahen Maständerungen oder die bei einer Umbeseilung erforderlichen Masterhöhungen räumlich zusammenhängend auf einer Länge von höchstens 15 Kilometern erfolgen.</w:t>
      </w:r>
    </w:p>
    <w:p>
      <w:r>
        <w:t xml:space="preserve">(3) Abweichend von Absatz 1 Satz 2 Nummer 2 kann eine Änderung oder Erweiterung auch dann im Anzeigeverfahren zugelassen werden, wenn die Planfeststellungsbehörde im Einvernehmen mit der nach Landesrecht zuständigen Immissionsschutzbehörde feststellt, dass die Vorgaben nach den §§ 3, 3a und 4 der Verordnung über elektromagnetische Felder und die Vorgaben der Technischen Anleitung zum Schutz gegen Lärm vom 26. August 1998 (GMBl S. 503) in der jeweils geltenden Fassung eingehalten sind, und wenn weitere öffentliche Belange nicht berührt sind oder die hierfür erforderlichen behördlichen Entscheidungen vorliegen und sie dem Plan nicht entgegenstehen. Absatz 2 Satz 3 ist entsprechend anzuwenden.</w:t>
      </w:r>
    </w:p>
    <w:p>
      <w:r>
        <w:t xml:space="preserve">(4) Der Vorhabenträger zeigt gegenüber der Planfeststellungsbehörde die von ihm geplante Maßnahme an. Der Anzeige sind in ausreichender Weise Erläuterungen beizufügen, aus denen sich ergibt, dass die geplante Änderung oder Erweiterung den Voraussetzungen der Absätze 1 bis 3 genügt. Insbesondere bedarf es einer Darstellung zu den zu erwartenden Umweltauswirkungen. Die Planfeststellungsbehörde entscheidet innerhalb eines Monats, ob anstelle des Anzeigeverfahrens ein Plangenehmigungs- oder Planfeststellungsverfahren durchzuführen ist oder die Maßnahme von einem förmlichen Verfahren freigestellt ist. Prüfgegenstand ist nur die jeweils angezeigte Änderung oder Erweiterung; im Fall der standortnahen Maständerung bleibt es unabhängig von den Vorgaben der §§ 3, 3a und 4 der Verordnung über elektromagnetische Felder und den Vorgaben der Technischen Anleitung zum Schutz gegen Lärm vom 26. August 1998 (GMBl S. 503) in der jeweils geltenden Fassung beim Anzeigeverfahren. Die Entscheidung ist dem Vorhabenträger bekannt zu machen.</w:t>
      </w:r>
    </w:p>
    <w:p>
      <w:r>
        <w:t xml:space="preserve">(5) § 43e des Energiewirtschaftsgesetzes ist entsprechend anzuwenden.</w:t>
      </w:r>
    </w:p>
    <w:p>
      <w:r>
        <w:rPr>
          <w:color w:val="555555"/>
          <w:sz w:val="17"/>
        </w:rPr>
        <w:t xml:space="preserve">Zitiervorschlag: § 25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