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NABEG — Umweltverträglichkeitsprüfung</w:t>
      </w:r>
    </w:p>
    <w:p>
      <w:r>
        <w:rPr>
          <w:color w:val="555555"/>
          <w:sz w:val="18"/>
        </w:rPr>
        <w:t xml:space="preserve">Netzausbaubeschleunigungsgesetz Übertragungsnetz</w:t>
      </w:r>
    </w:p>
    <w:p>
      <w:r>
        <w:rPr>
          <w:color w:val="555555"/>
          <w:sz w:val="18"/>
        </w:rPr>
        <w:t xml:space="preserve">Stand: 10.06.2019 (konsolidierte Textfassung, kein amtliches Inkrafttretensdatum)</w:t>
      </w:r>
    </w:p>
    <w:p>
      <w:r>
        <w:t xml:space="preserve">Die Prüfung der Umweltverträglichkeit nach den Bestimmungen des Gesetzes über die Umweltverträglichkeitsprüfung kann auf Grund der in der Bundesfachplanung bereits durchgeführten Strategischen Umweltprüfung auf zusätzliche oder andere erhebliche Umweltauswirkungen der beantragten Stromleitung beschränkt werden.</w:t>
      </w:r>
    </w:p>
    <w:p>
      <w:r>
        <w:rPr>
          <w:color w:val="555555"/>
          <w:sz w:val="17"/>
        </w:rPr>
        <w:t xml:space="preserve">Zitiervorschlag: § 23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