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NABEG — Anwendungsbereich, Verordnungsermächtigung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Dieses Gesetz gilt nur für die Errichtung oder Änderung von länderübergreifenden oder grenzüberschreitenden Höchstspannungsleitungen und Offshore-Anbindungsleitungen, die in einem Gesetz über den Bundesbedarfsplan nach § 12e Absatz 4 Satz 1 des Energiewirtschaftsgesetzes als solche gekennzeichnet sind. § 18 Absatz 2 bleibt unberührt.</w:t>
      </w:r>
    </w:p>
    <w:p>
      <w:r>
        <w:t xml:space="preserve">(2) Die Bundesregierung wird ermächtigt, in einer Rechtsverordnung mit Zustimmung des Bundesrates für Leitungen nach Absatz 1 festzulegen, dass die Planfeststellungsverfahren nach Abschnitt 3 von der Bundesnetzagentur durchgeführt werden.</w:t>
      </w:r>
    </w:p>
    <w:p>
      <w:r>
        <w:t xml:space="preserve">(3) Die Vorschriften dieses Gesetzes gelten außerdem für den Neubau von Hochspannungsleitungen mit einer Nennspannung von mindestens 110 Kilovolt sowie für Bahnstromfernleitungen, sofern diese Leitungen zusammen mit einer Höchstspannungsleitung nach Absatz 1 auf einem Mehrfachgestänge geführt werden können und die Planungen so rechtzeitig beantragt werden, dass die Einbeziehung ohne wesentliche Verfahrensverzögerung für die Bundesfachplanung oder Planfeststellung möglich ist. Satz 1 ist entsprechend für Erdkabel und Leerrohre anzuwenden, sofern diese nach § 26 im räumlichen und zeitlichen Zusammenhang mit der Baumaßnahme eines Vorhabens im Sinne von § 2 Absatz 5 und 6 des Bundesbedarfsplangesetzes mitverlegt werden können.</w:t>
      </w:r>
    </w:p>
    <w:p>
      <w:r>
        <w:t xml:space="preserve">(4) Dieses Gesetz gilt nicht für Vorhaben, die im Energieleitungsausbaugesetz aufgeführt sind.</w:t>
      </w:r>
    </w:p>
    <w:p>
      <w:r>
        <w:t xml:space="preserve">(5) Das Gesetz ist nicht auf Leitungsabschnitte anzuwenden, die in den Anwendungsbereich des § 65 Absatz 1 des Windenergie-auf-See-Gesetzes oder der §§ 133 und 136 des Bundesberggesetzes fallen.</w:t>
      </w:r>
    </w:p>
    <w:p>
      <w:r>
        <w:rPr>
          <w:color w:val="555555"/>
          <w:sz w:val="17"/>
        </w:rPr>
        <w:t xml:space="preserve">Zitiervorschlag: § 2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