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NABEG — Bundesnetzplan</w:t>
      </w:r>
    </w:p>
    <w:p>
      <w:r>
        <w:rPr>
          <w:color w:val="555555"/>
          <w:sz w:val="18"/>
        </w:rPr>
        <w:t xml:space="preserve">Netzausbaubeschleunigungsgesetz Übertragungsnetz</w:t>
      </w:r>
    </w:p>
    <w:p>
      <w:r>
        <w:rPr>
          <w:color w:val="555555"/>
          <w:sz w:val="18"/>
        </w:rPr>
        <w:t xml:space="preserve">Stand: 04.01.2024 (konsolidierte Textfassung, kein amtliches Inkrafttretensdatum)</w:t>
      </w:r>
    </w:p>
    <w:p>
      <w:r>
        <w:t xml:space="preserve">Die durch die Bundesfachplanung bestimmten Trassenkorridore und die für Offshore-Anbindungsleitungen und grenzüberschreitende Stromleitungen im jeweils aktuellen Flächenentwicklungsplan gemäß § 5 des Windenergie-auf-See-Gesetzes ausgewiesenen Trassen oder Trassenkorridore werden nachrichtlich in den Bundesnetzplan aufgenommen. Der Bundesnetzplan wird bei der Bundesnetzagentur geführt. Der Bundesnetzplan ist von der Bundesnetzagentur einmal pro Kalenderjahr im Bundesanzeiger zu veröffentlichen.</w:t>
      </w:r>
    </w:p>
    <w:p>
      <w:r>
        <w:rPr>
          <w:color w:val="555555"/>
          <w:sz w:val="17"/>
        </w:rPr>
        <w:t xml:space="preserve">Zitiervorschlag: § 17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