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NABEG — Abschluss der Bundesfachplanung</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(1) Die Bundesfachplanung ist binnen sechs Monaten nach Vorliegen der vollständigen Unterlagen bei der Bundesnetzagentur abzuschließen.</w:t>
      </w:r>
    </w:p>
    <w:p>
      <w:r>
        <w:t xml:space="preserve">(2) Die Entscheidung der Bundesnetzagentur über die Bundesfachplanung enthält</w:t>
      </w:r>
    </w:p>
    <w:p>
      <w:pPr>
        <w:ind w:left="420"/>
      </w:pPr>
      <w:r>
        <w:t xml:space="preserve">1. den Verlauf eines raumverträglichen Trassenkorridors, der Teil des Bundesnetzplans wird, sowie die an Landesgrenzen gelegenen Länderübergangspunkte; der Trassenkorridor und die Länderübergangspunkte sind in geeigneter Weise kartografisch auszuweisen;</w:t>
      </w:r>
    </w:p>
    <w:p>
      <w:pPr>
        <w:ind w:left="420"/>
      </w:pPr>
      <w:r>
        <w:t xml:space="preserve">2. eine Bewertung sowie eine zusammenfassende Erklärung der Umweltauswirkungen gemäß den §§ 43 und 44 des Gesetzes über die Umweltverträglichkeitsprüfung des in den Bundesnetzplan aufzunehmenden Trassenkorridors;</w:t>
      </w:r>
    </w:p>
    <w:p>
      <w:pPr>
        <w:ind w:left="420"/>
      </w:pPr>
      <w:r>
        <w:t xml:space="preserve">3. bei Vorhaben im Sinne von § 2 Absatz 5 des Bundesbedarfsplangesetzes eine Kennzeichnung, inwieweit sich der Trassenkorridor für die Errichtung und den Betrieb eines Erdkabels eignet, und</w:t>
      </w:r>
    </w:p>
    <w:p>
      <w:pPr>
        <w:ind w:left="420"/>
      </w:pPr>
      <w:r>
        <w:t xml:space="preserve">4. das Ergebnis der Prüfung von alternativen Trassenkorridoren.</w:t>
      </w:r>
    </w:p>
    <w:p>
      <w:r>
        <w:t xml:space="preserve">Der Entscheidung ist eine Begründung beizufügen, in der die Raumverträglichkeit im Einzelnen darzustellen ist. Bei Vorhaben im Sinne von § 2 Absatz 5 des Bundesbedarfsplangesetzes sind auch die Gründe anzugeben, aus denen in Teilabschnitten ausnahmsweise eine Freileitung in Betracht kommt. Die Bundesnetzagentur hat nach Abschluss der Bundesfachplanung den nach den §§ 11 und 12 des Energiewirtschaftsgesetzes verpflichteten Vorhabenträger durch Bescheid aufzufordern, innerhalb einer zu bestimmenden angemessenen Frist den erforderlichen Antrag auf Planfeststellung zu stellen. Die zuständigen obersten Landesbehörden der Länder, auf deren Gebiet ein Trassenkorridor verläuft, sind von der Frist zu benachrichtigen.</w:t>
      </w:r>
    </w:p>
    <w:p>
      <w:r>
        <w:t xml:space="preserve">(3) Abweichend von Absatz 2 Satz 1 Nummer 1 bis 3 enthält die Entscheidung im Fall des vereinfachten Verfahrens nach § 11 Absatz 1 Satz 1 Nummer 1 den Verlauf der geringfügigen Änderung und im Fall des vereinfachten Verfahrens nach § 11 Absatz 1 Satz 1 Nummer 2 eine Darstellung der kleinräumig außerhalb des Trassenkorridors verlaufenden Abschnitte der Ausbaumaßnahme.</w:t>
      </w:r>
    </w:p>
    <w:p>
      <w:r>
        <w:rPr>
          <w:color w:val="555555"/>
          <w:sz w:val="17"/>
        </w:rPr>
        <w:t xml:space="preserve">Zitiervorschlag: § 12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