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NABEG — Grundsatz</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(1) Die Beschleunigung des Ausbaus der länderübergreifenden und grenzüberschreitenden Höchstspannungsleitungen im Sinne des § 12e Absatz 2 Satz 1 des Energiewirtschaftsgesetzes vom 7. Juli 2005 (BGBl. I S. 1970), der durch Artikel 1 des Gesetzes vom 26. Juli 2011 (BGBl. I S. 1554) eingefügt worden ist, erfolgt nach Maßgabe dieses Gesetzes. Dieses Gesetz schafft die Grundlage für einen rechtssicheren, transparenten, effizienten und umweltverträglichen Ausbau des Übertragungsnetzes sowie dessen Ertüchtigung.</w:t>
      </w:r>
    </w:p>
    <w:p>
      <w:r>
        <w:t xml:space="preserve">(2) Die Errichtung und der Betrieb sowie die Änderung von Stromleitungen, die in den Anwendungsbereich dieses Gesetzes fallen, einschließlich der für den Betrieb notwendigen Anlagen, liegen im überragenden öffentlichen Interesse und dienen der öffentlichen Sicherheit. Bis die Stromversorgung im Bundesgebiet nahezu treibhausgasneutral ist, soll der beschleunigte Ausbau dieser Stromleitungen und Anlagen als vorrangiger Belang in die jeweils durchzuführende Schutzgüterabwägung eingebracht werden. Satz 2 ist nicht gegenüber Belangen der Landes- und Bündnisverteidigung anzuwenden.</w:t>
      </w:r>
    </w:p>
    <w:p>
      <w:r>
        <w:rPr>
          <w:color w:val="555555"/>
          <w:sz w:val="17"/>
        </w:rPr>
        <w:t xml:space="preserve">Zitiervorschlag: § 1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