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MusikfachhPrErprV — Bestehende Berufsausbildungsverhältnisse</w:t>
      </w:r>
    </w:p>
    <w:p>
      <w:r>
        <w:rPr>
          <w:color w:val="555555"/>
          <w:sz w:val="18"/>
        </w:rPr>
        <w:t xml:space="preserve">Verordnung über die Erprobung der Durchführung der Abschlussprüfung in zwei zeitlich auseinanderfallenden Teilen in der Berufsausbildung zum Musikfachhändler/zur Musikfachhändlerin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(weggefallen)</w:t>
      </w:r>
    </w:p>
    <w:p>
      <w:r>
        <w:t xml:space="preserve">(2) Auf Berufsausbildungsverhältnisse, die bis zum Ablauf des 31. Juli 2015 begonnen werden, sind die Vorschriften dieser Verordnung weiter anzuwenden.</w:t>
      </w:r>
    </w:p>
    <w:p>
      <w:r>
        <w:rPr>
          <w:color w:val="555555"/>
          <w:sz w:val="17"/>
        </w:rPr>
        <w:t xml:space="preserve">Zitiervorschlag: § 6 MusikfachhPrErprV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https://recht.nulegal.eu/gesetze/MusikfachhPrErprV/6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