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MusikfachhAusbV — Gewichtung der Prüfungsbereiche, Bestehen der Abschlussprüfung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Warenwirtschaft und Rechnungs-wesen    mit 10 Prozent,</w:t>
      </w:r>
    </w:p>
    <w:p>
      <w:r>
        <w:rPr>
          <w:rFonts w:ascii="Courier New" w:hAnsi="Courier New"/>
          <w:sz w:val="17"/>
        </w:rPr>
        <w:t xml:space="preserve">Musikkundlicher Beratungs-hintergrund    mit 30 Prozent,</w:t>
      </w:r>
    </w:p>
    <w:p>
      <w:r>
        <w:rPr>
          <w:rFonts w:ascii="Courier New" w:hAnsi="Courier New"/>
          <w:sz w:val="17"/>
        </w:rPr>
        <w:t xml:space="preserve">Geschäftsprozesse im Musikhandel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Prozent,</w:t>
      </w:r>
    </w:p>
    <w:p>
      <w:r>
        <w:rPr>
          <w:rFonts w:ascii="Courier New" w:hAnsi="Courier New"/>
          <w:sz w:val="17"/>
        </w:rPr>
        <w:t xml:space="preserve">Kundenberatung    mit 30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Ergebnis von Teil 2 der Abschlussprüfung mit mindestens „ausreichend“,</w:t>
      </w:r>
    </w:p>
    <w:p>
      <w:pPr>
        <w:ind w:left="420"/>
      </w:pPr>
      <w:r>
        <w:t xml:space="preserve">3. im Prüfungsbereich Kundenberatung mit mindestens „ausreichend“,</w:t>
      </w:r>
    </w:p>
    <w:p>
      <w:pPr>
        <w:ind w:left="420"/>
      </w:pPr>
      <w:r>
        <w:t xml:space="preserve">4. in mindestens einem der übrigen Prüfungsbereiche von Teil 2 der Abschlussprüfung mit mindestens „ausreichend“ und</w:t>
      </w:r>
    </w:p>
    <w:p>
      <w:pPr>
        <w:ind w:left="420"/>
      </w:pPr>
      <w:r>
        <w:t xml:space="preserve">5. in keinem Prüfungsbereich von Teil 2 der Abschlussprüfung mit „ungenügend“.</w:t>
      </w:r>
    </w:p>
    <w:p>
      <w:r>
        <w:t xml:space="preserve">(3) Auf Antrag des Prüflings ist die Prüfung in einem der Prüfungsbereiche „Geschäftsprozesse im Musikhandel“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9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